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8D" w:rsidRPr="00BB2728" w:rsidRDefault="00E0478D" w:rsidP="00733E73">
      <w:pPr>
        <w:pStyle w:val="Title"/>
        <w:jc w:val="center"/>
        <w:rPr>
          <w:sz w:val="40"/>
          <w:szCs w:val="40"/>
        </w:rPr>
      </w:pPr>
      <w:r w:rsidRPr="00BB2728">
        <w:rPr>
          <w:sz w:val="40"/>
          <w:szCs w:val="40"/>
        </w:rPr>
        <w:t>Vessel Cruise # Daily Report Report</w:t>
      </w:r>
    </w:p>
    <w:p w:rsidR="00E0478D" w:rsidRPr="00BB2728" w:rsidRDefault="00E0478D" w:rsidP="00733E73">
      <w:pPr>
        <w:pStyle w:val="Title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Period covered: 0000 hrs 06/08/2010</w:t>
      </w:r>
      <w:r w:rsidRPr="00BB2728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2400 hrs 06/08/2010</w:t>
      </w:r>
    </w:p>
    <w:p w:rsidR="00E0478D" w:rsidRPr="008406C8" w:rsidRDefault="00E0478D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Vessel science party: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2316"/>
        <w:gridCol w:w="4068"/>
      </w:tblGrid>
      <w:tr w:rsidR="00E0478D" w:rsidRPr="002938CD" w:rsidTr="00BB3289">
        <w:tc>
          <w:tcPr>
            <w:tcW w:w="3192" w:type="dxa"/>
            <w:shd w:val="clear" w:color="auto" w:fill="D9D9D9"/>
          </w:tcPr>
          <w:p w:rsidR="00E0478D" w:rsidRPr="002938CD" w:rsidRDefault="00E0478D" w:rsidP="002938CD">
            <w:pPr>
              <w:spacing w:after="0" w:line="240" w:lineRule="auto"/>
            </w:pPr>
            <w:r w:rsidRPr="002938CD">
              <w:t>Name</w:t>
            </w:r>
          </w:p>
        </w:tc>
        <w:tc>
          <w:tcPr>
            <w:tcW w:w="2316" w:type="dxa"/>
            <w:shd w:val="clear" w:color="auto" w:fill="D9D9D9"/>
          </w:tcPr>
          <w:p w:rsidR="00E0478D" w:rsidRPr="002938CD" w:rsidRDefault="00E0478D" w:rsidP="002938CD">
            <w:pPr>
              <w:spacing w:after="0" w:line="240" w:lineRule="auto"/>
            </w:pPr>
            <w:r w:rsidRPr="002938CD">
              <w:t>Position</w:t>
            </w:r>
          </w:p>
        </w:tc>
        <w:tc>
          <w:tcPr>
            <w:tcW w:w="4068" w:type="dxa"/>
            <w:shd w:val="clear" w:color="auto" w:fill="D9D9D9"/>
          </w:tcPr>
          <w:p w:rsidR="00E0478D" w:rsidRPr="002938CD" w:rsidRDefault="00E0478D" w:rsidP="002938CD">
            <w:pPr>
              <w:spacing w:after="0" w:line="240" w:lineRule="auto"/>
            </w:pPr>
            <w:r w:rsidRPr="002938CD">
              <w:t>Email/Phone</w:t>
            </w:r>
          </w:p>
        </w:tc>
      </w:tr>
      <w:tr w:rsidR="00E0478D" w:rsidRPr="002938CD" w:rsidTr="00BB3289">
        <w:tc>
          <w:tcPr>
            <w:tcW w:w="3192" w:type="dxa"/>
          </w:tcPr>
          <w:p w:rsidR="00E0478D" w:rsidRDefault="00E0478D" w:rsidP="00BB3289">
            <w:pPr>
              <w:spacing w:after="0" w:line="240" w:lineRule="auto"/>
            </w:pPr>
            <w:r>
              <w:t>Jon Hare</w:t>
            </w:r>
          </w:p>
          <w:p w:rsidR="00E0478D" w:rsidRDefault="00E0478D" w:rsidP="00BB3289">
            <w:pPr>
              <w:spacing w:after="0" w:line="240" w:lineRule="auto"/>
            </w:pPr>
            <w:r>
              <w:t>Paul Walline</w:t>
            </w:r>
          </w:p>
          <w:p w:rsidR="00E0478D" w:rsidRDefault="00E0478D" w:rsidP="00BB3289">
            <w:pPr>
              <w:spacing w:after="0" w:line="240" w:lineRule="auto"/>
            </w:pPr>
            <w:r>
              <w:t>Jim Burkitt*</w:t>
            </w:r>
          </w:p>
          <w:p w:rsidR="00E0478D" w:rsidRDefault="00E0478D" w:rsidP="00BB3289">
            <w:pPr>
              <w:spacing w:after="0" w:line="240" w:lineRule="auto"/>
            </w:pPr>
            <w:r>
              <w:t>Vince Guida</w:t>
            </w:r>
          </w:p>
          <w:p w:rsidR="00E0478D" w:rsidRDefault="00E0478D" w:rsidP="00BB3289">
            <w:pPr>
              <w:spacing w:after="0" w:line="240" w:lineRule="auto"/>
            </w:pPr>
            <w:r>
              <w:t>Nick Mitchell*</w:t>
            </w:r>
          </w:p>
          <w:p w:rsidR="00E0478D" w:rsidRDefault="00E0478D" w:rsidP="00BB3289">
            <w:pPr>
              <w:spacing w:after="0" w:line="240" w:lineRule="auto"/>
            </w:pPr>
            <w:r>
              <w:t>Tamara Holzwarth-Davis</w:t>
            </w:r>
          </w:p>
          <w:p w:rsidR="00E0478D" w:rsidRDefault="00E0478D" w:rsidP="00BB3289">
            <w:pPr>
              <w:spacing w:after="0" w:line="240" w:lineRule="auto"/>
            </w:pPr>
            <w:r>
              <w:t>Betsy Broughton</w:t>
            </w:r>
          </w:p>
          <w:p w:rsidR="00E0478D" w:rsidRDefault="00E0478D" w:rsidP="00BB3289">
            <w:pPr>
              <w:spacing w:after="0" w:line="240" w:lineRule="auto"/>
            </w:pPr>
            <w:r>
              <w:t>Ashok Deshpande</w:t>
            </w:r>
          </w:p>
          <w:p w:rsidR="00E0478D" w:rsidRDefault="00E0478D" w:rsidP="00BB3289">
            <w:pPr>
              <w:spacing w:after="0" w:line="240" w:lineRule="auto"/>
            </w:pPr>
            <w:r>
              <w:t>Lauren Ridley</w:t>
            </w:r>
          </w:p>
          <w:p w:rsidR="00E0478D" w:rsidRPr="00BB3289" w:rsidRDefault="00E0478D" w:rsidP="00BB3289">
            <w:pPr>
              <w:spacing w:after="0" w:line="240" w:lineRule="auto"/>
            </w:pPr>
            <w:r>
              <w:t>Liza Baskin</w:t>
            </w:r>
          </w:p>
          <w:p w:rsidR="00E0478D" w:rsidRPr="00E54D76" w:rsidRDefault="00E0478D" w:rsidP="00BB3289">
            <w:pPr>
              <w:spacing w:after="0" w:line="240" w:lineRule="auto"/>
            </w:pPr>
            <w:r w:rsidRPr="00E54D76">
              <w:t>David Graves</w:t>
            </w:r>
          </w:p>
          <w:p w:rsidR="00E0478D" w:rsidRPr="00E54D76" w:rsidRDefault="00E0478D" w:rsidP="00BB3289">
            <w:pPr>
              <w:spacing w:after="0" w:line="240" w:lineRule="auto"/>
            </w:pPr>
            <w:r w:rsidRPr="00E54D76">
              <w:t>Doug Alvey</w:t>
            </w:r>
          </w:p>
          <w:p w:rsidR="00E0478D" w:rsidRDefault="00E0478D" w:rsidP="00BB3289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>
                  <w:t>Regina</w:t>
                </w:r>
              </w:smartTag>
            </w:smartTag>
            <w:r>
              <w:t xml:space="preserve"> Easley</w:t>
            </w:r>
          </w:p>
          <w:p w:rsidR="00E0478D" w:rsidRPr="002938CD" w:rsidRDefault="00E0478D" w:rsidP="00BB3289">
            <w:pPr>
              <w:spacing w:after="0" w:line="240" w:lineRule="auto"/>
            </w:pPr>
            <w:r>
              <w:t>Christopher Sumner</w:t>
            </w:r>
          </w:p>
        </w:tc>
        <w:tc>
          <w:tcPr>
            <w:tcW w:w="2316" w:type="dxa"/>
          </w:tcPr>
          <w:p w:rsidR="00E0478D" w:rsidRDefault="00E0478D" w:rsidP="00BB3289">
            <w:pPr>
              <w:spacing w:after="0" w:line="240" w:lineRule="auto"/>
            </w:pPr>
            <w:r w:rsidRPr="002938CD">
              <w:t>Chief Scientist</w:t>
            </w:r>
          </w:p>
          <w:p w:rsidR="00E0478D" w:rsidRDefault="00E0478D" w:rsidP="00BB3289">
            <w:pPr>
              <w:spacing w:after="0" w:line="240" w:lineRule="auto"/>
            </w:pPr>
            <w:r>
              <w:t>Acoustic Lead</w:t>
            </w:r>
          </w:p>
          <w:p w:rsidR="00E0478D" w:rsidRDefault="00E0478D" w:rsidP="00BB3289">
            <w:pPr>
              <w:spacing w:after="0" w:line="240" w:lineRule="auto"/>
            </w:pPr>
            <w:r>
              <w:t>Acoustics</w:t>
            </w:r>
          </w:p>
          <w:p w:rsidR="00E0478D" w:rsidRDefault="00E0478D" w:rsidP="00BB3289">
            <w:pPr>
              <w:spacing w:after="0" w:line="240" w:lineRule="auto"/>
            </w:pPr>
            <w:r>
              <w:t>Acoustics</w:t>
            </w:r>
          </w:p>
          <w:p w:rsidR="00E0478D" w:rsidRDefault="00E0478D" w:rsidP="00BB3289">
            <w:pPr>
              <w:spacing w:after="0" w:line="240" w:lineRule="auto"/>
            </w:pPr>
            <w:r>
              <w:t>Acoustics</w:t>
            </w:r>
          </w:p>
          <w:p w:rsidR="00E0478D" w:rsidRDefault="00E0478D" w:rsidP="00BB3289">
            <w:pPr>
              <w:spacing w:after="0" w:line="240" w:lineRule="auto"/>
            </w:pPr>
            <w:r>
              <w:t>CTD</w:t>
            </w:r>
          </w:p>
          <w:p w:rsidR="00E0478D" w:rsidRDefault="00E0478D" w:rsidP="00BB3289">
            <w:pPr>
              <w:spacing w:after="0" w:line="240" w:lineRule="auto"/>
            </w:pPr>
            <w:r>
              <w:t>CTD</w:t>
            </w:r>
          </w:p>
          <w:p w:rsidR="00E0478D" w:rsidRDefault="00E0478D" w:rsidP="00BB3289">
            <w:pPr>
              <w:spacing w:after="0" w:line="240" w:lineRule="auto"/>
            </w:pPr>
            <w:r>
              <w:t>Chemistry Lead</w:t>
            </w:r>
          </w:p>
          <w:p w:rsidR="00E0478D" w:rsidRDefault="00E0478D" w:rsidP="00BB3289">
            <w:pPr>
              <w:spacing w:after="0" w:line="240" w:lineRule="auto"/>
            </w:pPr>
            <w:r>
              <w:t>Chemsitry</w:t>
            </w:r>
          </w:p>
          <w:p w:rsidR="00E0478D" w:rsidRDefault="00E0478D" w:rsidP="00BB3289">
            <w:pPr>
              <w:spacing w:after="0" w:line="240" w:lineRule="auto"/>
            </w:pPr>
            <w:r>
              <w:t>Chemistry dO</w:t>
            </w:r>
          </w:p>
          <w:p w:rsidR="00E0478D" w:rsidRDefault="00E0478D" w:rsidP="00BB3289">
            <w:pPr>
              <w:spacing w:after="0" w:line="240" w:lineRule="auto"/>
            </w:pPr>
            <w:r>
              <w:t>SMU Data Manager</w:t>
            </w:r>
          </w:p>
          <w:p w:rsidR="00E0478D" w:rsidRDefault="00E0478D" w:rsidP="00BB3289">
            <w:pPr>
              <w:spacing w:after="0" w:line="240" w:lineRule="auto"/>
            </w:pPr>
            <w:r>
              <w:t>SMU IH</w:t>
            </w:r>
          </w:p>
          <w:p w:rsidR="00E0478D" w:rsidRDefault="00E0478D" w:rsidP="00BB3289">
            <w:pPr>
              <w:spacing w:after="0" w:line="240" w:lineRule="auto"/>
            </w:pPr>
            <w:r>
              <w:t>NRDA Sample Rep</w:t>
            </w:r>
          </w:p>
          <w:p w:rsidR="00E0478D" w:rsidRPr="002938CD" w:rsidRDefault="00E0478D" w:rsidP="00BB3289">
            <w:pPr>
              <w:spacing w:after="0" w:line="240" w:lineRule="auto"/>
            </w:pPr>
            <w:r>
              <w:t>BP/Entrix</w:t>
            </w:r>
          </w:p>
        </w:tc>
        <w:tc>
          <w:tcPr>
            <w:tcW w:w="4068" w:type="dxa"/>
          </w:tcPr>
          <w:p w:rsidR="00E0478D" w:rsidRDefault="00E0478D" w:rsidP="002938CD">
            <w:pPr>
              <w:spacing w:after="0" w:line="240" w:lineRule="auto"/>
            </w:pPr>
            <w:hyperlink r:id="rId4" w:history="1">
              <w:r w:rsidRPr="0032501C">
                <w:rPr>
                  <w:rStyle w:val="Hyperlink"/>
                </w:rPr>
                <w:t>jon.hare@noaa.gov</w:t>
              </w:r>
            </w:hyperlink>
          </w:p>
          <w:p w:rsidR="00E0478D" w:rsidRDefault="00E0478D" w:rsidP="002938CD">
            <w:pPr>
              <w:spacing w:after="0" w:line="240" w:lineRule="auto"/>
            </w:pPr>
            <w:hyperlink r:id="rId5" w:history="1">
              <w:r w:rsidRPr="0032501C">
                <w:rPr>
                  <w:rStyle w:val="Hyperlink"/>
                </w:rPr>
                <w:t>paul.walline@noaa.gov</w:t>
              </w:r>
            </w:hyperlink>
          </w:p>
          <w:p w:rsidR="00E0478D" w:rsidRDefault="00E0478D" w:rsidP="002938CD">
            <w:pPr>
              <w:spacing w:after="0" w:line="240" w:lineRule="auto"/>
            </w:pPr>
            <w:hyperlink r:id="rId6" w:history="1">
              <w:r w:rsidRPr="0032501C">
                <w:rPr>
                  <w:rStyle w:val="Hyperlink"/>
                </w:rPr>
                <w:t>james.w.burkitt@noaa.gv</w:t>
              </w:r>
            </w:hyperlink>
          </w:p>
          <w:p w:rsidR="00E0478D" w:rsidRDefault="00E0478D" w:rsidP="002938CD">
            <w:pPr>
              <w:spacing w:after="0" w:line="240" w:lineRule="auto"/>
            </w:pPr>
            <w:hyperlink r:id="rId7" w:history="1">
              <w:r w:rsidRPr="0032501C">
                <w:rPr>
                  <w:rStyle w:val="Hyperlink"/>
                </w:rPr>
                <w:t>Vincent.guide@noaa.gov</w:t>
              </w:r>
            </w:hyperlink>
          </w:p>
          <w:p w:rsidR="00E0478D" w:rsidRDefault="00E0478D" w:rsidP="002938CD">
            <w:pPr>
              <w:spacing w:after="0" w:line="240" w:lineRule="auto"/>
            </w:pPr>
            <w:hyperlink r:id="rId8" w:history="1">
              <w:r w:rsidRPr="0032501C">
                <w:rPr>
                  <w:rStyle w:val="Hyperlink"/>
                </w:rPr>
                <w:t>nickolas.mitchell@noaa.gov</w:t>
              </w:r>
            </w:hyperlink>
          </w:p>
          <w:p w:rsidR="00E0478D" w:rsidRDefault="00E0478D" w:rsidP="002938CD">
            <w:pPr>
              <w:spacing w:after="0" w:line="240" w:lineRule="auto"/>
            </w:pPr>
            <w:hyperlink r:id="rId9" w:history="1">
              <w:r w:rsidRPr="0032501C">
                <w:rPr>
                  <w:rStyle w:val="Hyperlink"/>
                </w:rPr>
                <w:t>tamara.holzwarth-davis@noaa.gov</w:t>
              </w:r>
            </w:hyperlink>
          </w:p>
          <w:p w:rsidR="00E0478D" w:rsidRDefault="00E0478D" w:rsidP="002938CD">
            <w:pPr>
              <w:spacing w:after="0" w:line="240" w:lineRule="auto"/>
            </w:pPr>
            <w:hyperlink r:id="rId10" w:history="1">
              <w:r w:rsidRPr="0032501C">
                <w:rPr>
                  <w:rStyle w:val="Hyperlink"/>
                </w:rPr>
                <w:t>Elisabeth.broughton@noaa.gov</w:t>
              </w:r>
            </w:hyperlink>
          </w:p>
          <w:p w:rsidR="00E0478D" w:rsidRDefault="00E0478D" w:rsidP="002938CD">
            <w:pPr>
              <w:spacing w:after="0" w:line="240" w:lineRule="auto"/>
            </w:pPr>
            <w:hyperlink r:id="rId11" w:history="1">
              <w:r w:rsidRPr="0032501C">
                <w:rPr>
                  <w:rStyle w:val="Hyperlink"/>
                </w:rPr>
                <w:t>Ashok.deshpande@noaa.gov</w:t>
              </w:r>
            </w:hyperlink>
          </w:p>
          <w:p w:rsidR="00E0478D" w:rsidRDefault="00E0478D" w:rsidP="002938CD">
            <w:pPr>
              <w:spacing w:after="0" w:line="240" w:lineRule="auto"/>
            </w:pPr>
            <w:hyperlink r:id="rId12" w:history="1">
              <w:r w:rsidRPr="0032501C">
                <w:rPr>
                  <w:rStyle w:val="Hyperlink"/>
                </w:rPr>
                <w:t>lauren.ridley@student.shu.edu</w:t>
              </w:r>
            </w:hyperlink>
          </w:p>
          <w:p w:rsidR="00E0478D" w:rsidRDefault="00E0478D" w:rsidP="002938CD">
            <w:pPr>
              <w:spacing w:after="0" w:line="240" w:lineRule="auto"/>
            </w:pPr>
            <w:hyperlink r:id="rId13" w:history="1">
              <w:r w:rsidRPr="0032501C">
                <w:rPr>
                  <w:rStyle w:val="Hyperlink"/>
                </w:rPr>
                <w:t>lbaskin@me.com</w:t>
              </w:r>
            </w:hyperlink>
          </w:p>
          <w:p w:rsidR="00E0478D" w:rsidRDefault="00E0478D" w:rsidP="002938CD">
            <w:pPr>
              <w:spacing w:after="0" w:line="240" w:lineRule="auto"/>
            </w:pPr>
            <w:hyperlink r:id="rId14" w:history="1">
              <w:r w:rsidRPr="0032501C">
                <w:rPr>
                  <w:rStyle w:val="Hyperlink"/>
                </w:rPr>
                <w:t>dgraves@consolidatedsafety.com</w:t>
              </w:r>
            </w:hyperlink>
          </w:p>
          <w:p w:rsidR="00E0478D" w:rsidRDefault="00E0478D" w:rsidP="002938CD">
            <w:pPr>
              <w:spacing w:after="0" w:line="240" w:lineRule="auto"/>
            </w:pPr>
            <w:hyperlink r:id="rId15" w:history="1">
              <w:r w:rsidRPr="0032501C">
                <w:rPr>
                  <w:rStyle w:val="Hyperlink"/>
                </w:rPr>
                <w:t>Doug.Alvey@louisberger.com</w:t>
              </w:r>
            </w:hyperlink>
          </w:p>
          <w:p w:rsidR="00E0478D" w:rsidRDefault="00E0478D" w:rsidP="002938CD">
            <w:pPr>
              <w:spacing w:after="0" w:line="240" w:lineRule="auto"/>
            </w:pPr>
            <w:hyperlink r:id="rId16" w:history="1">
              <w:r w:rsidRPr="0032501C">
                <w:rPr>
                  <w:rStyle w:val="Hyperlink"/>
                </w:rPr>
                <w:t>reasley@mail.usf.edu</w:t>
              </w:r>
            </w:hyperlink>
          </w:p>
          <w:p w:rsidR="00E0478D" w:rsidRPr="00BB3289" w:rsidRDefault="00E0478D" w:rsidP="002938CD">
            <w:pPr>
              <w:spacing w:after="0" w:line="240" w:lineRule="auto"/>
            </w:pPr>
            <w:hyperlink r:id="rId17" w:history="1">
              <w:r w:rsidRPr="0032501C">
                <w:rPr>
                  <w:rStyle w:val="Hyperlink"/>
                </w:rPr>
                <w:t>CSumner@entrix.com</w:t>
              </w:r>
            </w:hyperlink>
          </w:p>
        </w:tc>
      </w:tr>
      <w:tr w:rsidR="00E0478D" w:rsidRPr="002938CD" w:rsidTr="00FF5CF8">
        <w:tc>
          <w:tcPr>
            <w:tcW w:w="9576" w:type="dxa"/>
            <w:gridSpan w:val="3"/>
          </w:tcPr>
          <w:p w:rsidR="00E0478D" w:rsidRPr="002938CD" w:rsidRDefault="00E0478D" w:rsidP="002938CD">
            <w:pPr>
              <w:spacing w:after="0" w:line="240" w:lineRule="auto"/>
            </w:pPr>
            <w:r>
              <w:t>* ships crew working on acoustics with science party</w:t>
            </w:r>
          </w:p>
        </w:tc>
      </w:tr>
    </w:tbl>
    <w:p w:rsidR="00E0478D" w:rsidRPr="008406C8" w:rsidRDefault="00E0478D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Daily Operations: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1711"/>
        <w:gridCol w:w="499"/>
        <w:gridCol w:w="1751"/>
        <w:gridCol w:w="449"/>
        <w:gridCol w:w="1631"/>
      </w:tblGrid>
      <w:tr w:rsidR="00E0478D" w:rsidTr="008406C8">
        <w:trPr>
          <w:trHeight w:val="278"/>
          <w:jc w:val="center"/>
        </w:trPr>
        <w:tc>
          <w:tcPr>
            <w:tcW w:w="468" w:type="dxa"/>
          </w:tcPr>
          <w:p w:rsidR="00E0478D" w:rsidRDefault="00E0478D" w:rsidP="008406C8">
            <w:pPr>
              <w:pStyle w:val="NoSpacing"/>
            </w:pPr>
            <w:r>
              <w:t>Y</w:t>
            </w:r>
          </w:p>
        </w:tc>
        <w:tc>
          <w:tcPr>
            <w:tcW w:w="1711" w:type="dxa"/>
          </w:tcPr>
          <w:p w:rsidR="00E0478D" w:rsidRDefault="00E0478D" w:rsidP="008406C8">
            <w:pPr>
              <w:pStyle w:val="NoSpacing"/>
            </w:pPr>
            <w:r>
              <w:t>CTD Casts</w:t>
            </w:r>
          </w:p>
        </w:tc>
        <w:tc>
          <w:tcPr>
            <w:tcW w:w="499" w:type="dxa"/>
          </w:tcPr>
          <w:p w:rsidR="00E0478D" w:rsidRDefault="00E0478D" w:rsidP="008406C8">
            <w:pPr>
              <w:pStyle w:val="NoSpacing"/>
            </w:pPr>
            <w:r>
              <w:t>Y</w:t>
            </w:r>
          </w:p>
        </w:tc>
        <w:tc>
          <w:tcPr>
            <w:tcW w:w="1751" w:type="dxa"/>
          </w:tcPr>
          <w:p w:rsidR="00E0478D" w:rsidRDefault="00E0478D" w:rsidP="008406C8">
            <w:pPr>
              <w:pStyle w:val="NoSpacing"/>
            </w:pPr>
            <w:r>
              <w:t>Sampling – VOA</w:t>
            </w:r>
          </w:p>
        </w:tc>
        <w:tc>
          <w:tcPr>
            <w:tcW w:w="449" w:type="dxa"/>
          </w:tcPr>
          <w:p w:rsidR="00E0478D" w:rsidRDefault="00E0478D" w:rsidP="008406C8">
            <w:pPr>
              <w:pStyle w:val="NoSpacing"/>
            </w:pPr>
          </w:p>
        </w:tc>
        <w:tc>
          <w:tcPr>
            <w:tcW w:w="1631" w:type="dxa"/>
          </w:tcPr>
          <w:p w:rsidR="00E0478D" w:rsidRDefault="00E0478D" w:rsidP="008406C8">
            <w:pPr>
              <w:pStyle w:val="NoSpacing"/>
            </w:pPr>
            <w:r>
              <w:t>PAH Detection</w:t>
            </w:r>
          </w:p>
        </w:tc>
      </w:tr>
      <w:tr w:rsidR="00E0478D" w:rsidTr="008406C8">
        <w:trPr>
          <w:jc w:val="center"/>
        </w:trPr>
        <w:tc>
          <w:tcPr>
            <w:tcW w:w="468" w:type="dxa"/>
          </w:tcPr>
          <w:p w:rsidR="00E0478D" w:rsidRDefault="00E0478D" w:rsidP="008406C8">
            <w:pPr>
              <w:pStyle w:val="NoSpacing"/>
            </w:pPr>
            <w:r>
              <w:t>Y</w:t>
            </w:r>
          </w:p>
        </w:tc>
        <w:tc>
          <w:tcPr>
            <w:tcW w:w="1711" w:type="dxa"/>
          </w:tcPr>
          <w:p w:rsidR="00E0478D" w:rsidRDefault="00E0478D" w:rsidP="008406C8">
            <w:pPr>
              <w:pStyle w:val="NoSpacing"/>
            </w:pPr>
            <w:r>
              <w:t>Fluorometry</w:t>
            </w:r>
          </w:p>
        </w:tc>
        <w:tc>
          <w:tcPr>
            <w:tcW w:w="499" w:type="dxa"/>
          </w:tcPr>
          <w:p w:rsidR="00E0478D" w:rsidRDefault="00E0478D" w:rsidP="008406C8">
            <w:pPr>
              <w:pStyle w:val="NoSpacing"/>
            </w:pPr>
          </w:p>
        </w:tc>
        <w:tc>
          <w:tcPr>
            <w:tcW w:w="1751" w:type="dxa"/>
          </w:tcPr>
          <w:p w:rsidR="00E0478D" w:rsidRDefault="00E0478D" w:rsidP="008406C8">
            <w:pPr>
              <w:pStyle w:val="NoSpacing"/>
            </w:pPr>
            <w:r>
              <w:t>GCMS</w:t>
            </w:r>
          </w:p>
        </w:tc>
        <w:tc>
          <w:tcPr>
            <w:tcW w:w="449" w:type="dxa"/>
          </w:tcPr>
          <w:p w:rsidR="00E0478D" w:rsidRDefault="00E0478D" w:rsidP="008406C8">
            <w:pPr>
              <w:pStyle w:val="NoSpacing"/>
            </w:pPr>
          </w:p>
        </w:tc>
        <w:tc>
          <w:tcPr>
            <w:tcW w:w="1631" w:type="dxa"/>
          </w:tcPr>
          <w:p w:rsidR="00E0478D" w:rsidRDefault="00E0478D" w:rsidP="008406C8">
            <w:pPr>
              <w:pStyle w:val="NoSpacing"/>
            </w:pPr>
            <w:r>
              <w:t>Biota</w:t>
            </w:r>
          </w:p>
        </w:tc>
      </w:tr>
      <w:tr w:rsidR="00E0478D" w:rsidTr="008406C8">
        <w:trPr>
          <w:jc w:val="center"/>
        </w:trPr>
        <w:tc>
          <w:tcPr>
            <w:tcW w:w="468" w:type="dxa"/>
          </w:tcPr>
          <w:p w:rsidR="00E0478D" w:rsidRDefault="00E0478D" w:rsidP="008406C8">
            <w:pPr>
              <w:pStyle w:val="NoSpacing"/>
            </w:pPr>
          </w:p>
        </w:tc>
        <w:tc>
          <w:tcPr>
            <w:tcW w:w="1711" w:type="dxa"/>
          </w:tcPr>
          <w:p w:rsidR="00E0478D" w:rsidRDefault="00E0478D" w:rsidP="008406C8">
            <w:pPr>
              <w:pStyle w:val="NoSpacing"/>
            </w:pPr>
            <w:r>
              <w:t>LISST</w:t>
            </w:r>
          </w:p>
        </w:tc>
        <w:tc>
          <w:tcPr>
            <w:tcW w:w="499" w:type="dxa"/>
          </w:tcPr>
          <w:p w:rsidR="00E0478D" w:rsidRDefault="00E0478D" w:rsidP="008406C8">
            <w:pPr>
              <w:pStyle w:val="NoSpacing"/>
            </w:pPr>
            <w:r>
              <w:t>Y</w:t>
            </w:r>
          </w:p>
        </w:tc>
        <w:tc>
          <w:tcPr>
            <w:tcW w:w="1751" w:type="dxa"/>
          </w:tcPr>
          <w:p w:rsidR="00E0478D" w:rsidRDefault="00E0478D" w:rsidP="008406C8">
            <w:pPr>
              <w:pStyle w:val="NoSpacing"/>
            </w:pPr>
            <w:r>
              <w:t>Acoustics</w:t>
            </w:r>
          </w:p>
        </w:tc>
        <w:tc>
          <w:tcPr>
            <w:tcW w:w="449" w:type="dxa"/>
          </w:tcPr>
          <w:p w:rsidR="00E0478D" w:rsidRDefault="00E0478D" w:rsidP="008406C8">
            <w:pPr>
              <w:pStyle w:val="NoSpacing"/>
            </w:pPr>
          </w:p>
        </w:tc>
        <w:tc>
          <w:tcPr>
            <w:tcW w:w="1631" w:type="dxa"/>
          </w:tcPr>
          <w:p w:rsidR="00E0478D" w:rsidRDefault="00E0478D" w:rsidP="008406C8">
            <w:pPr>
              <w:pStyle w:val="NoSpacing"/>
            </w:pPr>
            <w:r>
              <w:t>Rototox</w:t>
            </w:r>
          </w:p>
        </w:tc>
      </w:tr>
      <w:tr w:rsidR="00E0478D" w:rsidTr="008406C8">
        <w:trPr>
          <w:jc w:val="center"/>
        </w:trPr>
        <w:tc>
          <w:tcPr>
            <w:tcW w:w="468" w:type="dxa"/>
          </w:tcPr>
          <w:p w:rsidR="00E0478D" w:rsidRDefault="00E0478D" w:rsidP="008406C8">
            <w:pPr>
              <w:pStyle w:val="NoSpacing"/>
            </w:pPr>
            <w:r>
              <w:t>Y</w:t>
            </w:r>
          </w:p>
        </w:tc>
        <w:tc>
          <w:tcPr>
            <w:tcW w:w="1711" w:type="dxa"/>
          </w:tcPr>
          <w:p w:rsidR="00E0478D" w:rsidRDefault="00E0478D" w:rsidP="008406C8">
            <w:pPr>
              <w:pStyle w:val="NoSpacing"/>
            </w:pPr>
            <w:r>
              <w:t>Sampling – TPH</w:t>
            </w:r>
          </w:p>
        </w:tc>
        <w:tc>
          <w:tcPr>
            <w:tcW w:w="499" w:type="dxa"/>
          </w:tcPr>
          <w:p w:rsidR="00E0478D" w:rsidRDefault="00E0478D" w:rsidP="008406C8">
            <w:pPr>
              <w:pStyle w:val="NoSpacing"/>
            </w:pPr>
          </w:p>
        </w:tc>
        <w:tc>
          <w:tcPr>
            <w:tcW w:w="1751" w:type="dxa"/>
          </w:tcPr>
          <w:p w:rsidR="00E0478D" w:rsidRDefault="00E0478D" w:rsidP="008406C8">
            <w:pPr>
              <w:pStyle w:val="NoSpacing"/>
            </w:pPr>
            <w:r>
              <w:t>MOCNESS</w:t>
            </w:r>
          </w:p>
        </w:tc>
        <w:tc>
          <w:tcPr>
            <w:tcW w:w="449" w:type="dxa"/>
          </w:tcPr>
          <w:p w:rsidR="00E0478D" w:rsidRDefault="00E0478D" w:rsidP="008406C8">
            <w:pPr>
              <w:pStyle w:val="NoSpacing"/>
            </w:pPr>
          </w:p>
        </w:tc>
        <w:tc>
          <w:tcPr>
            <w:tcW w:w="1631" w:type="dxa"/>
          </w:tcPr>
          <w:p w:rsidR="00E0478D" w:rsidRDefault="00E0478D" w:rsidP="008406C8">
            <w:pPr>
              <w:pStyle w:val="NoSpacing"/>
            </w:pPr>
            <w:r>
              <w:t>Other:</w:t>
            </w:r>
          </w:p>
        </w:tc>
      </w:tr>
      <w:tr w:rsidR="00E0478D" w:rsidTr="008406C8">
        <w:trPr>
          <w:jc w:val="center"/>
        </w:trPr>
        <w:tc>
          <w:tcPr>
            <w:tcW w:w="6509" w:type="dxa"/>
            <w:gridSpan w:val="6"/>
          </w:tcPr>
          <w:p w:rsidR="00E0478D" w:rsidRDefault="00E0478D" w:rsidP="008406C8">
            <w:pPr>
              <w:pStyle w:val="NoSpacing"/>
            </w:pPr>
          </w:p>
        </w:tc>
      </w:tr>
    </w:tbl>
    <w:p w:rsidR="00E0478D" w:rsidRPr="008406C8" w:rsidRDefault="00E0478D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Cruise notes:</w:t>
      </w:r>
    </w:p>
    <w:p w:rsidR="00E0478D" w:rsidRDefault="00E0478D" w:rsidP="00EA3361">
      <w:r>
        <w:t>Conducted acoustic surveys until dawn. Picked up winch rep from PISCES. Retrminated forward winch and repaired aft winch late morning to early afternoon; made two passes over wellhead; performed one CTD – dip in dO</w:t>
      </w:r>
      <w:r w:rsidRPr="009739C2">
        <w:rPr>
          <w:vertAlign w:val="subscript"/>
        </w:rPr>
        <w:t>2</w:t>
      </w:r>
      <w:r>
        <w:t xml:space="preserve"> at 1100 m evident – water samples collected; CTD about to be deployed</w:t>
      </w:r>
    </w:p>
    <w:p w:rsidR="00E0478D" w:rsidRDefault="00E0478D" w:rsidP="00FB58B6">
      <w:pPr>
        <w:pStyle w:val="NoSpacing"/>
        <w:rPr>
          <w:color w:val="1F497D"/>
          <w:sz w:val="24"/>
          <w:szCs w:val="24"/>
        </w:rPr>
      </w:pPr>
    </w:p>
    <w:p w:rsidR="00E0478D" w:rsidRDefault="00E0478D" w:rsidP="00FB58B6">
      <w:pPr>
        <w:pStyle w:val="NoSpacing"/>
        <w:rPr>
          <w:i/>
          <w:u w:val="single"/>
        </w:rPr>
      </w:pPr>
      <w:r w:rsidRPr="008406C8">
        <w:rPr>
          <w:color w:val="1F497D"/>
          <w:sz w:val="24"/>
          <w:szCs w:val="24"/>
        </w:rPr>
        <w:t xml:space="preserve">Science results and preliminary interpretation:  </w:t>
      </w:r>
      <w:r w:rsidRPr="008406C8">
        <w:rPr>
          <w:color w:val="1F497D"/>
          <w:sz w:val="24"/>
          <w:szCs w:val="24"/>
        </w:rPr>
        <w:br/>
      </w:r>
      <w:r>
        <w:rPr>
          <w:i/>
          <w:u w:val="single"/>
        </w:rPr>
        <w:t>Acoustics</w:t>
      </w:r>
    </w:p>
    <w:p w:rsidR="00E0478D" w:rsidRPr="00FB58B6" w:rsidRDefault="00E0478D" w:rsidP="00FB58B6">
      <w:pPr>
        <w:pStyle w:val="NoSpacing"/>
      </w:pPr>
      <w:r>
        <w:t>One seep detected during 24 hour period south-southeast of well head; crossed wellhead 2x (Figure 2); acoustic signal weak but still there</w:t>
      </w:r>
    </w:p>
    <w:p w:rsidR="00E0478D" w:rsidRPr="008406C8" w:rsidRDefault="00E0478D" w:rsidP="00FB58B6">
      <w:pPr>
        <w:pStyle w:val="Heading1"/>
        <w:rPr>
          <w:color w:val="1F497D"/>
        </w:rPr>
      </w:pPr>
      <w:r w:rsidRPr="008406C8">
        <w:rPr>
          <w:rFonts w:ascii="Calibri" w:hAnsi="Calibri" w:cs="Calibri"/>
          <w:b w:val="0"/>
          <w:color w:val="1F497D"/>
          <w:sz w:val="20"/>
          <w:szCs w:val="20"/>
        </w:rPr>
        <w:t xml:space="preserve"> (please attach any images at end of document)</w:t>
      </w:r>
    </w:p>
    <w:p w:rsidR="00E0478D" w:rsidRPr="009B2BB7" w:rsidRDefault="00E0478D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Fluorometry and Dissolved Oxygen results</w:t>
      </w: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2222"/>
        <w:gridCol w:w="1083"/>
        <w:gridCol w:w="1437"/>
        <w:gridCol w:w="2070"/>
        <w:gridCol w:w="810"/>
        <w:gridCol w:w="2430"/>
      </w:tblGrid>
      <w:tr w:rsidR="00E0478D" w:rsidRPr="002938CD" w:rsidTr="00EB0E92">
        <w:tc>
          <w:tcPr>
            <w:tcW w:w="928" w:type="dxa"/>
            <w:shd w:val="clear" w:color="auto" w:fill="D9D9D9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 w:rsidRPr="002938CD">
              <w:rPr>
                <w:rFonts w:cs="Calibri"/>
                <w:sz w:val="21"/>
                <w:szCs w:val="21"/>
              </w:rPr>
              <w:t>Station</w:t>
            </w:r>
          </w:p>
        </w:tc>
        <w:tc>
          <w:tcPr>
            <w:tcW w:w="2222" w:type="dxa"/>
            <w:shd w:val="clear" w:color="auto" w:fill="D9D9D9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 w:rsidRPr="002938CD">
              <w:rPr>
                <w:rFonts w:cs="Calibri"/>
                <w:sz w:val="21"/>
                <w:szCs w:val="21"/>
              </w:rPr>
              <w:t>Lat/Lon</w:t>
            </w:r>
          </w:p>
        </w:tc>
        <w:tc>
          <w:tcPr>
            <w:tcW w:w="1083" w:type="dxa"/>
            <w:shd w:val="clear" w:color="auto" w:fill="D9D9D9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 w:rsidRPr="002938CD">
              <w:rPr>
                <w:rFonts w:cs="Calibri"/>
                <w:sz w:val="21"/>
                <w:szCs w:val="21"/>
              </w:rPr>
              <w:t>Position from Wellhead</w:t>
            </w:r>
          </w:p>
        </w:tc>
        <w:tc>
          <w:tcPr>
            <w:tcW w:w="1437" w:type="dxa"/>
            <w:shd w:val="clear" w:color="auto" w:fill="D9D9D9"/>
          </w:tcPr>
          <w:p w:rsidR="00E0478D" w:rsidRPr="002938CD" w:rsidRDefault="00E0478D" w:rsidP="004957E7">
            <w:pPr>
              <w:pStyle w:val="NoSpacing"/>
              <w:rPr>
                <w:rFonts w:cs="Calibri"/>
                <w:sz w:val="21"/>
                <w:szCs w:val="21"/>
              </w:rPr>
            </w:pPr>
            <w:r w:rsidRPr="002938CD">
              <w:rPr>
                <w:rFonts w:cs="Calibri"/>
                <w:sz w:val="21"/>
                <w:szCs w:val="21"/>
              </w:rPr>
              <w:t xml:space="preserve">DO </w:t>
            </w:r>
            <w:r>
              <w:rPr>
                <w:rFonts w:cs="Calibri"/>
                <w:sz w:val="21"/>
                <w:szCs w:val="21"/>
              </w:rPr>
              <w:t>anomaly</w:t>
            </w:r>
          </w:p>
        </w:tc>
        <w:tc>
          <w:tcPr>
            <w:tcW w:w="2070" w:type="dxa"/>
            <w:shd w:val="clear" w:color="auto" w:fill="D9D9D9"/>
          </w:tcPr>
          <w:p w:rsidR="00E0478D" w:rsidRPr="002938CD" w:rsidRDefault="00E0478D" w:rsidP="008406C8">
            <w:pPr>
              <w:pStyle w:val="NoSpacing"/>
              <w:rPr>
                <w:rFonts w:cs="Calibri"/>
                <w:sz w:val="21"/>
                <w:szCs w:val="21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2938CD">
                      <w:rPr>
                        <w:rFonts w:cs="Calibri"/>
                        <w:sz w:val="21"/>
                        <w:szCs w:val="21"/>
                      </w:rPr>
                      <w:t>Fluorescence</w:t>
                    </w:r>
                  </w:smartTag>
                </w:smartTag>
                <w:r w:rsidRPr="002938CD">
                  <w:rPr>
                    <w:rFonts w:cs="Calibri"/>
                    <w:sz w:val="21"/>
                    <w:szCs w:val="21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cs="Calibri"/>
                      <w:sz w:val="21"/>
                      <w:szCs w:val="21"/>
                    </w:rPr>
                    <w:t>Range</w:t>
                  </w:r>
                </w:smartTag>
              </w:smartTag>
            </w:smartTag>
          </w:p>
        </w:tc>
        <w:tc>
          <w:tcPr>
            <w:tcW w:w="810" w:type="dxa"/>
            <w:shd w:val="clear" w:color="auto" w:fill="D9D9D9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 w:rsidRPr="002938CD">
              <w:rPr>
                <w:rFonts w:cs="Calibri"/>
                <w:sz w:val="21"/>
                <w:szCs w:val="21"/>
              </w:rPr>
              <w:t>Signal Depth</w:t>
            </w:r>
          </w:p>
        </w:tc>
        <w:tc>
          <w:tcPr>
            <w:tcW w:w="2430" w:type="dxa"/>
            <w:shd w:val="clear" w:color="auto" w:fill="D9D9D9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 w:rsidRPr="002938CD">
              <w:rPr>
                <w:rFonts w:cs="Calibri"/>
                <w:sz w:val="21"/>
                <w:szCs w:val="21"/>
              </w:rPr>
              <w:t>Comments</w:t>
            </w:r>
          </w:p>
        </w:tc>
      </w:tr>
      <w:tr w:rsidR="00E0478D" w:rsidRPr="002938CD" w:rsidTr="00EB0E92">
        <w:tc>
          <w:tcPr>
            <w:tcW w:w="928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222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083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437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07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81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43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E0478D" w:rsidRPr="002938CD" w:rsidTr="00EB0E92">
        <w:tc>
          <w:tcPr>
            <w:tcW w:w="928" w:type="dxa"/>
          </w:tcPr>
          <w:p w:rsidR="00E0478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222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083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437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07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81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43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E0478D" w:rsidRPr="002938CD" w:rsidTr="00EB0E92">
        <w:tc>
          <w:tcPr>
            <w:tcW w:w="928" w:type="dxa"/>
          </w:tcPr>
          <w:p w:rsidR="00E0478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222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083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437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07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81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43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E0478D" w:rsidRPr="002938CD" w:rsidTr="00EB0E92">
        <w:tc>
          <w:tcPr>
            <w:tcW w:w="928" w:type="dxa"/>
          </w:tcPr>
          <w:p w:rsidR="00E0478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222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083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437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07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81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43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E0478D" w:rsidRPr="002938CD" w:rsidTr="00EB0E92">
        <w:tc>
          <w:tcPr>
            <w:tcW w:w="928" w:type="dxa"/>
          </w:tcPr>
          <w:p w:rsidR="00E0478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222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083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437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07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81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43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E0478D" w:rsidRPr="002938CD" w:rsidTr="00EB0E92">
        <w:tc>
          <w:tcPr>
            <w:tcW w:w="928" w:type="dxa"/>
          </w:tcPr>
          <w:p w:rsidR="00E0478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222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083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437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07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81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43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E0478D" w:rsidRPr="002938CD" w:rsidTr="00EB0E92">
        <w:tc>
          <w:tcPr>
            <w:tcW w:w="928" w:type="dxa"/>
          </w:tcPr>
          <w:p w:rsidR="00E0478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222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083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437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07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81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43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E0478D" w:rsidRPr="002938CD" w:rsidTr="00EB0E92">
        <w:tc>
          <w:tcPr>
            <w:tcW w:w="928" w:type="dxa"/>
          </w:tcPr>
          <w:p w:rsidR="00E0478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222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083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437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07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81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430" w:type="dxa"/>
          </w:tcPr>
          <w:p w:rsidR="00E0478D" w:rsidRPr="002938CD" w:rsidRDefault="00E0478D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</w:tbl>
    <w:p w:rsidR="00E0478D" w:rsidRDefault="00E0478D" w:rsidP="009B2BB7">
      <w:pPr>
        <w:pStyle w:val="NoSpacing"/>
      </w:pPr>
      <w:r>
        <w:t>See data manager report</w:t>
      </w:r>
    </w:p>
    <w:p w:rsidR="00E0478D" w:rsidRDefault="00E0478D" w:rsidP="009B2BB7">
      <w:pPr>
        <w:pStyle w:val="NoSpacing"/>
      </w:pPr>
    </w:p>
    <w:p w:rsidR="00E0478D" w:rsidRDefault="00E0478D" w:rsidP="009B2BB7">
      <w:pPr>
        <w:pStyle w:val="NoSpacing"/>
      </w:pPr>
    </w:p>
    <w:p w:rsidR="00E0478D" w:rsidRPr="009B2BB7" w:rsidRDefault="00E0478D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 xml:space="preserve">Chemistry: GCMS / HAPSITE </w:t>
      </w:r>
    </w:p>
    <w:p w:rsidR="00E0478D" w:rsidRDefault="00E0478D" w:rsidP="009B2BB7">
      <w:pPr>
        <w:pStyle w:val="NoSpacing"/>
      </w:pPr>
    </w:p>
    <w:p w:rsidR="00E0478D" w:rsidRDefault="00E0478D" w:rsidP="009B2BB7">
      <w:pPr>
        <w:pStyle w:val="NoSpacing"/>
      </w:pPr>
      <w:r>
        <w:t>dO dip at 1100 m on 1 ctd cast (Figure 1)</w:t>
      </w:r>
    </w:p>
    <w:p w:rsidR="00E0478D" w:rsidRDefault="00E0478D" w:rsidP="009B2BB7">
      <w:pPr>
        <w:pStyle w:val="NoSpacing"/>
      </w:pPr>
    </w:p>
    <w:p w:rsidR="00E0478D" w:rsidRPr="009B2BB7" w:rsidRDefault="00E0478D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Microbial analysis (if applicable)</w:t>
      </w:r>
    </w:p>
    <w:p w:rsidR="00E0478D" w:rsidRDefault="00E0478D" w:rsidP="009B2BB7">
      <w:pPr>
        <w:pStyle w:val="NoSpacing"/>
      </w:pPr>
    </w:p>
    <w:p w:rsidR="00E0478D" w:rsidRDefault="00E0478D" w:rsidP="009B2BB7">
      <w:pPr>
        <w:pStyle w:val="NoSpacing"/>
      </w:pPr>
    </w:p>
    <w:p w:rsidR="00E0478D" w:rsidRPr="009B2BB7" w:rsidRDefault="00E0478D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Other Observations</w:t>
      </w:r>
    </w:p>
    <w:p w:rsidR="00E0478D" w:rsidRDefault="00E0478D" w:rsidP="009B2BB7">
      <w:pPr>
        <w:pStyle w:val="NoSpacing"/>
      </w:pPr>
    </w:p>
    <w:p w:rsidR="00E0478D" w:rsidRDefault="00E0478D" w:rsidP="009B2BB7">
      <w:pPr>
        <w:pStyle w:val="NoSpacing"/>
      </w:pPr>
    </w:p>
    <w:p w:rsidR="00E0478D" w:rsidRPr="008406C8" w:rsidRDefault="00E0478D" w:rsidP="00733E73">
      <w:pPr>
        <w:pStyle w:val="Heading2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 xml:space="preserve">Operational / Logistical issues: </w:t>
      </w:r>
    </w:p>
    <w:p w:rsidR="00E0478D" w:rsidRDefault="00E0478D" w:rsidP="00733E73">
      <w:pPr>
        <w:pStyle w:val="Heading2"/>
        <w:rPr>
          <w:color w:val="1F497D"/>
          <w:sz w:val="24"/>
          <w:szCs w:val="24"/>
        </w:rPr>
      </w:pPr>
    </w:p>
    <w:p w:rsidR="00E0478D" w:rsidRDefault="00E0478D" w:rsidP="00733E73">
      <w:pPr>
        <w:pStyle w:val="Heading2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Planned activities for next 24 hours:</w:t>
      </w:r>
    </w:p>
    <w:p w:rsidR="00E0478D" w:rsidRDefault="00E0478D" w:rsidP="00EA3361">
      <w:r>
        <w:t>Conduct acoustic surveys in morning</w:t>
      </w:r>
    </w:p>
    <w:p w:rsidR="00E0478D" w:rsidRDefault="00E0478D" w:rsidP="00EA3361">
      <w:r>
        <w:t>Start 24 hour ctd ops at 1200</w:t>
      </w:r>
    </w:p>
    <w:p w:rsidR="00E0478D" w:rsidRDefault="00E0478D" w:rsidP="00EA3361"/>
    <w:p w:rsidR="00E0478D" w:rsidRDefault="00E0478D" w:rsidP="00EA3361">
      <w:r>
        <w:br w:type="pag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pt">
            <v:imagedata r:id="rId18" o:title=""/>
          </v:shape>
        </w:pict>
      </w:r>
    </w:p>
    <w:p w:rsidR="00E0478D" w:rsidRDefault="00E0478D" w:rsidP="00EA3361">
      <w:r>
        <w:t>Figure 1 – CTD 2 miles south-southeast of wellhead – small dO2 dip at ~1100</w:t>
      </w:r>
    </w:p>
    <w:p w:rsidR="00E0478D" w:rsidRDefault="00E0478D" w:rsidP="00EA3361"/>
    <w:p w:rsidR="00E0478D" w:rsidRDefault="00E0478D" w:rsidP="00EA3361">
      <w:r>
        <w:br w:type="page"/>
      </w:r>
      <w:r>
        <w:pict>
          <v:shape id="_x0000_i1026" type="#_x0000_t75" style="width:383.25pt;height:327pt">
            <v:imagedata r:id="rId19" o:title=""/>
          </v:shape>
        </w:pict>
      </w:r>
    </w:p>
    <w:p w:rsidR="00E0478D" w:rsidRDefault="00E0478D" w:rsidP="00EA3361">
      <w:r>
        <w:t>Figure 2 – Screenshots of pre and post wellhead monitoring. Acoustic return in post-feature is low relative to the pre-feature and background noise is higher post-feature than pre-feature.</w:t>
      </w:r>
    </w:p>
    <w:p w:rsidR="00E0478D" w:rsidRPr="007A45F6" w:rsidRDefault="00E0478D" w:rsidP="00EA3361"/>
    <w:sectPr w:rsidR="00E0478D" w:rsidRPr="007A45F6" w:rsidSect="0037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E24"/>
    <w:rsid w:val="001148B3"/>
    <w:rsid w:val="001E10A2"/>
    <w:rsid w:val="002346E8"/>
    <w:rsid w:val="002938CD"/>
    <w:rsid w:val="002D6E24"/>
    <w:rsid w:val="0032501C"/>
    <w:rsid w:val="0037421C"/>
    <w:rsid w:val="003D25F1"/>
    <w:rsid w:val="003E54AD"/>
    <w:rsid w:val="004957E7"/>
    <w:rsid w:val="00565BB0"/>
    <w:rsid w:val="00626D50"/>
    <w:rsid w:val="0068176C"/>
    <w:rsid w:val="006B08C5"/>
    <w:rsid w:val="006C127F"/>
    <w:rsid w:val="00733E73"/>
    <w:rsid w:val="00787B10"/>
    <w:rsid w:val="007A45F6"/>
    <w:rsid w:val="007C24DB"/>
    <w:rsid w:val="00814AB4"/>
    <w:rsid w:val="008406C8"/>
    <w:rsid w:val="009739C2"/>
    <w:rsid w:val="009B2BB7"/>
    <w:rsid w:val="009F7521"/>
    <w:rsid w:val="00AA33F2"/>
    <w:rsid w:val="00B24FAF"/>
    <w:rsid w:val="00BB2728"/>
    <w:rsid w:val="00BB3289"/>
    <w:rsid w:val="00CE23E2"/>
    <w:rsid w:val="00D47B61"/>
    <w:rsid w:val="00DA609C"/>
    <w:rsid w:val="00E0478D"/>
    <w:rsid w:val="00E54D76"/>
    <w:rsid w:val="00EA3361"/>
    <w:rsid w:val="00EB0E92"/>
    <w:rsid w:val="00FB58B6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3E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E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3E73"/>
    <w:rPr>
      <w:rFonts w:ascii="Cambria" w:hAnsi="Cambria" w:cs="Times New Roman"/>
      <w:b/>
      <w:color w:val="376092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3E73"/>
    <w:rPr>
      <w:rFonts w:ascii="Cambria" w:hAnsi="Cambria" w:cs="Times New Roman"/>
      <w:b/>
      <w:color w:val="4F81BD"/>
      <w:sz w:val="26"/>
    </w:rPr>
  </w:style>
  <w:style w:type="table" w:styleId="TableGrid">
    <w:name w:val="Table Grid"/>
    <w:basedOn w:val="TableNormal"/>
    <w:uiPriority w:val="99"/>
    <w:rsid w:val="009F75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9F752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EA3361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A3361"/>
    <w:rPr>
      <w:rFonts w:cs="Times New Roman"/>
      <w:i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733E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33E73"/>
    <w:rPr>
      <w:rFonts w:ascii="Cambria" w:hAnsi="Cambria" w:cs="Times New Roman"/>
      <w:color w:val="17375E"/>
      <w:spacing w:val="5"/>
      <w:kern w:val="28"/>
      <w:sz w:val="52"/>
    </w:rPr>
  </w:style>
  <w:style w:type="paragraph" w:styleId="NoSpacing">
    <w:name w:val="No Spacing"/>
    <w:uiPriority w:val="99"/>
    <w:qFormat/>
    <w:rsid w:val="00733E73"/>
  </w:style>
  <w:style w:type="character" w:styleId="Hyperlink">
    <w:name w:val="Hyperlink"/>
    <w:basedOn w:val="DefaultParagraphFont"/>
    <w:uiPriority w:val="99"/>
    <w:rsid w:val="00BB32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olas.mitchell@noaa.gov" TargetMode="External"/><Relationship Id="rId13" Type="http://schemas.openxmlformats.org/officeDocument/2006/relationships/hyperlink" Target="mailto:lbaskin@me.com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incent.guide@noaa.gov" TargetMode="External"/><Relationship Id="rId12" Type="http://schemas.openxmlformats.org/officeDocument/2006/relationships/hyperlink" Target="mailto:lauren.ridley@student.shu.edu" TargetMode="External"/><Relationship Id="rId17" Type="http://schemas.openxmlformats.org/officeDocument/2006/relationships/hyperlink" Target="mailto:CSumner@entrix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asley@mail.usf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mes.w.burkitt@noaa.gv" TargetMode="External"/><Relationship Id="rId11" Type="http://schemas.openxmlformats.org/officeDocument/2006/relationships/hyperlink" Target="mailto:Ashok.deshpande@noaa.gov" TargetMode="External"/><Relationship Id="rId5" Type="http://schemas.openxmlformats.org/officeDocument/2006/relationships/hyperlink" Target="mailto:paul.walline@noaa.gov" TargetMode="External"/><Relationship Id="rId15" Type="http://schemas.openxmlformats.org/officeDocument/2006/relationships/hyperlink" Target="mailto:Doug.Alvey@louisberger.com" TargetMode="External"/><Relationship Id="rId10" Type="http://schemas.openxmlformats.org/officeDocument/2006/relationships/hyperlink" Target="mailto:Elisabeth.broughton@noaa.gov" TargetMode="External"/><Relationship Id="rId19" Type="http://schemas.openxmlformats.org/officeDocument/2006/relationships/image" Target="media/image2.emf"/><Relationship Id="rId4" Type="http://schemas.openxmlformats.org/officeDocument/2006/relationships/hyperlink" Target="mailto:jon.hare@noaa.gov" TargetMode="External"/><Relationship Id="rId9" Type="http://schemas.openxmlformats.org/officeDocument/2006/relationships/hyperlink" Target="mailto:tamara.holzwarth-davis@noaa.gov" TargetMode="External"/><Relationship Id="rId14" Type="http://schemas.openxmlformats.org/officeDocument/2006/relationships/hyperlink" Target="mailto:dgraves@consolidatedsafe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450</Words>
  <Characters>2566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Cruise # Daily Report Report</dc:title>
  <dc:subject/>
  <dc:creator>Lauren Decker</dc:creator>
  <cp:keywords/>
  <dc:description/>
  <cp:lastModifiedBy>Jon Hare</cp:lastModifiedBy>
  <cp:revision>5</cp:revision>
  <cp:lastPrinted>2010-08-05T15:40:00Z</cp:lastPrinted>
  <dcterms:created xsi:type="dcterms:W3CDTF">2010-08-06T16:55:00Z</dcterms:created>
  <dcterms:modified xsi:type="dcterms:W3CDTF">2010-08-07T03:19:00Z</dcterms:modified>
</cp:coreProperties>
</file>