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F" w:rsidRDefault="00C740B1">
      <w:r w:rsidRPr="00C740B1">
        <w:t xml:space="preserve">Dissolved oxygen measurements taken </w:t>
      </w:r>
      <w:r>
        <w:t xml:space="preserve">by the CTD and the </w:t>
      </w:r>
      <w:proofErr w:type="spellStart"/>
      <w:r>
        <w:t>ProODO</w:t>
      </w:r>
      <w:proofErr w:type="spellEnd"/>
      <w:r>
        <w:t xml:space="preserve"> field probe </w:t>
      </w:r>
      <w:r w:rsidR="00AA4703">
        <w:t>on 08/31</w:t>
      </w:r>
      <w:r w:rsidRPr="00C740B1">
        <w:t xml:space="preserve">/2010 </w:t>
      </w:r>
      <w:r w:rsidR="00726F42">
        <w:t>trend together following a similar dissolved oxygen curve through the water profile</w:t>
      </w:r>
      <w:r w:rsidR="005268C3">
        <w:t xml:space="preserve">.  </w:t>
      </w:r>
      <w:r w:rsidRPr="00C740B1">
        <w:t xml:space="preserve">CTD readings </w:t>
      </w:r>
      <w:r w:rsidR="00726F42">
        <w:t xml:space="preserve">were </w:t>
      </w:r>
      <w:r w:rsidRPr="00C740B1">
        <w:t xml:space="preserve">taken underwater at actual temperature and depth.  </w:t>
      </w:r>
      <w:proofErr w:type="spellStart"/>
      <w:r w:rsidRPr="00C740B1">
        <w:t>ProODO</w:t>
      </w:r>
      <w:proofErr w:type="spellEnd"/>
      <w:r w:rsidRPr="00C740B1">
        <w:t xml:space="preserve"> Field Probe readings </w:t>
      </w:r>
      <w:r w:rsidR="00726F42">
        <w:t xml:space="preserve">were </w:t>
      </w:r>
      <w:r w:rsidRPr="00C740B1">
        <w:t xml:space="preserve">taken on deck in </w:t>
      </w:r>
      <w:proofErr w:type="spellStart"/>
      <w:r w:rsidRPr="00C740B1">
        <w:t>Nisken</w:t>
      </w:r>
      <w:proofErr w:type="spellEnd"/>
      <w:r w:rsidRPr="00C740B1">
        <w:t xml:space="preserve"> bottles immediately upon rosette recovery.</w:t>
      </w:r>
      <w:r w:rsidR="00726F42">
        <w:t xml:space="preserve">  </w:t>
      </w:r>
      <w:r w:rsidR="00AA4703">
        <w:t>Field probe r</w:t>
      </w:r>
      <w:r w:rsidR="00726F42">
        <w:t xml:space="preserve">eadings were usually </w:t>
      </w:r>
      <w:r w:rsidR="00AA4703">
        <w:t>more than 1.00</w:t>
      </w:r>
      <w:r w:rsidR="00726F42">
        <w:t xml:space="preserve"> mg/L oxygen</w:t>
      </w:r>
      <w:r w:rsidR="001720F6">
        <w:t xml:space="preserve"> higher than the CTD readings.  </w:t>
      </w:r>
      <w:r w:rsidR="00726F42">
        <w:t>These findings are consistent with readings from the two probes during earlier cruises in past weeks</w:t>
      </w:r>
      <w:r w:rsidR="00AA4703">
        <w:t xml:space="preserve"> with the exception that the difference between readings is larger this cruise than in the past</w:t>
      </w:r>
      <w:r w:rsidR="00726F42">
        <w:t>.</w:t>
      </w:r>
      <w:r w:rsidR="00260C3E">
        <w:t xml:space="preserve">  No sheen was found in any of the </w:t>
      </w:r>
      <w:proofErr w:type="spellStart"/>
      <w:r w:rsidR="00260C3E">
        <w:t>Nisken</w:t>
      </w:r>
      <w:proofErr w:type="spellEnd"/>
      <w:r w:rsidR="00260C3E">
        <w:t xml:space="preserve"> bottles at any of the sampled depths.  </w:t>
      </w:r>
    </w:p>
    <w:p w:rsidR="00CA52EE" w:rsidRDefault="00CA52EE">
      <w:r w:rsidRPr="00CA52EE">
        <w:drawing>
          <wp:inline distT="0" distB="0" distL="0" distR="0">
            <wp:extent cx="4353983" cy="2706158"/>
            <wp:effectExtent l="19050" t="0" r="27517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52EE" w:rsidRDefault="00CA52EE">
      <w:r w:rsidRPr="00CA52EE">
        <w:drawing>
          <wp:inline distT="0" distB="0" distL="0" distR="0">
            <wp:extent cx="4394465" cy="2749021"/>
            <wp:effectExtent l="19050" t="0" r="2513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52EE" w:rsidRDefault="00CA52EE">
      <w:r w:rsidRPr="00CA52EE">
        <w:lastRenderedPageBreak/>
        <w:drawing>
          <wp:inline distT="0" distB="0" distL="0" distR="0">
            <wp:extent cx="4344458" cy="2807759"/>
            <wp:effectExtent l="19050" t="0" r="17992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52EE" w:rsidRDefault="00CA52EE">
      <w:r w:rsidRPr="00CA52EE">
        <w:drawing>
          <wp:inline distT="0" distB="0" distL="0" distR="0">
            <wp:extent cx="4344458" cy="2807759"/>
            <wp:effectExtent l="19050" t="0" r="17992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52EE" w:rsidRDefault="00CA52EE">
      <w:r w:rsidRPr="00CA52EE">
        <w:lastRenderedPageBreak/>
        <w:drawing>
          <wp:inline distT="0" distB="0" distL="0" distR="0">
            <wp:extent cx="4344458" cy="2807759"/>
            <wp:effectExtent l="19050" t="0" r="17992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2EE" w:rsidRDefault="00CA52EE"/>
    <w:p w:rsidR="00CA52EE" w:rsidRDefault="00CA52EE"/>
    <w:p w:rsidR="006F3CCC" w:rsidRDefault="00CA52EE">
      <w:r w:rsidRPr="00CA52EE">
        <w:drawing>
          <wp:inline distT="0" distB="0" distL="0" distR="0">
            <wp:extent cx="5810250" cy="36385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F3CCC" w:rsidSect="00DE4BD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D4" w:rsidRDefault="00E76CD4" w:rsidP="00E76CD4">
      <w:pPr>
        <w:spacing w:after="0" w:line="240" w:lineRule="auto"/>
      </w:pPr>
      <w:r>
        <w:separator/>
      </w:r>
    </w:p>
  </w:endnote>
  <w:endnote w:type="continuationSeparator" w:id="0">
    <w:p w:rsidR="00E76CD4" w:rsidRDefault="00E76CD4" w:rsidP="00E7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D4" w:rsidRDefault="00E76CD4" w:rsidP="00E76CD4">
      <w:pPr>
        <w:spacing w:after="0" w:line="240" w:lineRule="auto"/>
      </w:pPr>
      <w:r>
        <w:separator/>
      </w:r>
    </w:p>
  </w:footnote>
  <w:footnote w:type="continuationSeparator" w:id="0">
    <w:p w:rsidR="00E76CD4" w:rsidRDefault="00E76CD4" w:rsidP="00E7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44" w:rsidRDefault="00661244">
    <w:pPr>
      <w:pStyle w:val="Header"/>
    </w:pPr>
    <w:r>
      <w:t>ENTRIX</w:t>
    </w:r>
    <w:r>
      <w:tab/>
    </w:r>
    <w:r>
      <w:tab/>
      <w:t>08/31/2010</w:t>
    </w:r>
  </w:p>
  <w:p w:rsidR="00E76CD4" w:rsidRDefault="00236C83">
    <w:pPr>
      <w:pStyle w:val="Header"/>
    </w:pPr>
    <w:r>
      <w:t>Dissolved Oxygen Report</w:t>
    </w:r>
    <w:r>
      <w:tab/>
    </w:r>
    <w:r w:rsidR="00E76CD4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B1"/>
    <w:rsid w:val="00055013"/>
    <w:rsid w:val="001720F6"/>
    <w:rsid w:val="00236C83"/>
    <w:rsid w:val="00260C3E"/>
    <w:rsid w:val="00277E1B"/>
    <w:rsid w:val="003F6A13"/>
    <w:rsid w:val="00480CEE"/>
    <w:rsid w:val="004D4A0B"/>
    <w:rsid w:val="005268C3"/>
    <w:rsid w:val="005A22CE"/>
    <w:rsid w:val="00661244"/>
    <w:rsid w:val="006F3CCC"/>
    <w:rsid w:val="00726F42"/>
    <w:rsid w:val="0083246D"/>
    <w:rsid w:val="0099180A"/>
    <w:rsid w:val="00A03790"/>
    <w:rsid w:val="00AA4703"/>
    <w:rsid w:val="00C740B1"/>
    <w:rsid w:val="00CA52EE"/>
    <w:rsid w:val="00CA58A4"/>
    <w:rsid w:val="00D560EF"/>
    <w:rsid w:val="00DE4BD0"/>
    <w:rsid w:val="00E76CD4"/>
    <w:rsid w:val="00FA11AF"/>
    <w:rsid w:val="00FA36FA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D4"/>
  </w:style>
  <w:style w:type="paragraph" w:styleId="Footer">
    <w:name w:val="footer"/>
    <w:basedOn w:val="Normal"/>
    <w:link w:val="FooterChar"/>
    <w:uiPriority w:val="99"/>
    <w:semiHidden/>
    <w:unhideWhenUsed/>
    <w:rsid w:val="00E7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OV_DDSP_Data_Forms\Cruise_Folders\Cruise_17\Meter-CTD%20Oxygen%20Measurements%20OV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OV_DDSP_Data_Forms\Cruise_Folders\Cruise_17\Meter-CTD%20Oxygen%20Measurements%20OV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OV_DDSP_Data_Forms\Cruise_Folders\Cruise_17\Meter-CTD%20Oxygen%20Measurements%20OV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OV_DDSP_Data_Forms\Cruise_Folders\Cruise_17\Meter-CTD%20Oxygen%20Measurements%20OV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OV_DDSP_Data_Forms\Cruise_Folders\Cruise_17\Meter-CTD%20Oxygen%20Measurements%20OV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OV_DDSP_Data_Forms\Cruise_Folders\Cruise_17\Meter-CTD%20Oxygen%20Measurements%20OV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OV 212</a:t>
            </a:r>
          </a:p>
        </c:rich>
      </c:tx>
      <c:layout/>
    </c:title>
    <c:plotArea>
      <c:layout/>
      <c:scatterChart>
        <c:scatterStyle val="lineMarker"/>
        <c:ser>
          <c:idx val="2"/>
          <c:order val="0"/>
          <c:tx>
            <c:v>CTD</c:v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rgbClr val="92D050"/>
              </a:solidFill>
            </c:spPr>
          </c:marker>
          <c:xVal>
            <c:numRef>
              <c:f>'8-31-2010'!$C$3:$C$10</c:f>
              <c:numCache>
                <c:formatCode>0.00</c:formatCode>
                <c:ptCount val="8"/>
                <c:pt idx="0">
                  <c:v>6.09</c:v>
                </c:pt>
                <c:pt idx="1">
                  <c:v>6.47</c:v>
                </c:pt>
                <c:pt idx="2">
                  <c:v>3.64</c:v>
                </c:pt>
                <c:pt idx="3">
                  <c:v>3.88</c:v>
                </c:pt>
                <c:pt idx="4">
                  <c:v>4.4800000000000004</c:v>
                </c:pt>
                <c:pt idx="5">
                  <c:v>4.8</c:v>
                </c:pt>
                <c:pt idx="6">
                  <c:v>5.58</c:v>
                </c:pt>
                <c:pt idx="7">
                  <c:v>5.89</c:v>
                </c:pt>
              </c:numCache>
            </c:numRef>
          </c:xVal>
          <c:yVal>
            <c:numRef>
              <c:f>'8-31-2010'!$B$3:$B$10</c:f>
              <c:numCache>
                <c:formatCode>General</c:formatCode>
                <c:ptCount val="8"/>
                <c:pt idx="0">
                  <c:v>3</c:v>
                </c:pt>
                <c:pt idx="1">
                  <c:v>50</c:v>
                </c:pt>
                <c:pt idx="2">
                  <c:v>400</c:v>
                </c:pt>
                <c:pt idx="3">
                  <c:v>512</c:v>
                </c:pt>
                <c:pt idx="4">
                  <c:v>700</c:v>
                </c:pt>
                <c:pt idx="5">
                  <c:v>850</c:v>
                </c:pt>
                <c:pt idx="6">
                  <c:v>988</c:v>
                </c:pt>
                <c:pt idx="7">
                  <c:v>1151</c:v>
                </c:pt>
              </c:numCache>
            </c:numRef>
          </c:yVal>
        </c:ser>
        <c:ser>
          <c:idx val="3"/>
          <c:order val="1"/>
          <c:tx>
            <c:v>Field Probe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FF00"/>
              </a:solidFill>
            </c:spPr>
          </c:marker>
          <c:xVal>
            <c:numRef>
              <c:f>'8-31-2010'!$D$3:$D$10</c:f>
              <c:numCache>
                <c:formatCode>0.00</c:formatCode>
                <c:ptCount val="8"/>
                <c:pt idx="0">
                  <c:v>7.86</c:v>
                </c:pt>
                <c:pt idx="1">
                  <c:v>8.2100000000000009</c:v>
                </c:pt>
                <c:pt idx="2">
                  <c:v>4.75</c:v>
                </c:pt>
                <c:pt idx="3">
                  <c:v>5.29</c:v>
                </c:pt>
                <c:pt idx="4">
                  <c:v>5.88</c:v>
                </c:pt>
                <c:pt idx="5">
                  <c:v>6.24</c:v>
                </c:pt>
                <c:pt idx="6">
                  <c:v>6.98</c:v>
                </c:pt>
                <c:pt idx="7">
                  <c:v>6.97</c:v>
                </c:pt>
              </c:numCache>
            </c:numRef>
          </c:xVal>
          <c:yVal>
            <c:numRef>
              <c:f>'8-31-2010'!$B$3:$B$10</c:f>
              <c:numCache>
                <c:formatCode>General</c:formatCode>
                <c:ptCount val="8"/>
                <c:pt idx="0">
                  <c:v>3</c:v>
                </c:pt>
                <c:pt idx="1">
                  <c:v>50</c:v>
                </c:pt>
                <c:pt idx="2">
                  <c:v>400</c:v>
                </c:pt>
                <c:pt idx="3">
                  <c:v>512</c:v>
                </c:pt>
                <c:pt idx="4">
                  <c:v>700</c:v>
                </c:pt>
                <c:pt idx="5">
                  <c:v>850</c:v>
                </c:pt>
                <c:pt idx="6">
                  <c:v>988</c:v>
                </c:pt>
                <c:pt idx="7">
                  <c:v>1151</c:v>
                </c:pt>
              </c:numCache>
            </c:numRef>
          </c:yVal>
        </c:ser>
        <c:axId val="80402304"/>
        <c:axId val="80437632"/>
      </c:scatterChart>
      <c:valAx>
        <c:axId val="80402304"/>
        <c:scaling>
          <c:orientation val="minMax"/>
        </c:scaling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Dissolved</a:t>
                </a:r>
                <a:r>
                  <a:rPr lang="en-US" baseline="0"/>
                  <a:t> Oxygen (mg/L)</a:t>
                </a:r>
              </a:p>
            </c:rich>
          </c:tx>
          <c:layout/>
        </c:title>
        <c:numFmt formatCode="0.00" sourceLinked="1"/>
        <c:majorTickMark val="none"/>
        <c:tickLblPos val="nextTo"/>
        <c:crossAx val="80437632"/>
        <c:crosses val="autoZero"/>
        <c:crossBetween val="midCat"/>
      </c:valAx>
      <c:valAx>
        <c:axId val="80437632"/>
        <c:scaling>
          <c:orientation val="maxMin"/>
          <c:max val="16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0402304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OV</a:t>
            </a:r>
            <a:r>
              <a:rPr lang="en-US" sz="1600" baseline="0"/>
              <a:t> 213</a:t>
            </a:r>
          </a:p>
        </c:rich>
      </c:tx>
      <c:layout/>
    </c:title>
    <c:plotArea>
      <c:layout/>
      <c:scatterChart>
        <c:scatterStyle val="lineMarker"/>
        <c:ser>
          <c:idx val="4"/>
          <c:order val="0"/>
          <c:tx>
            <c:v>CTD</c:v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rgbClr val="92D050"/>
              </a:solidFill>
            </c:spPr>
          </c:marker>
          <c:xVal>
            <c:numRef>
              <c:f>'8-31-2010'!$C$11:$C$18</c:f>
              <c:numCache>
                <c:formatCode>0.00</c:formatCode>
                <c:ptCount val="8"/>
                <c:pt idx="0">
                  <c:v>6.29</c:v>
                </c:pt>
                <c:pt idx="1">
                  <c:v>6.13</c:v>
                </c:pt>
                <c:pt idx="2">
                  <c:v>3.9</c:v>
                </c:pt>
                <c:pt idx="3">
                  <c:v>3.86</c:v>
                </c:pt>
                <c:pt idx="4">
                  <c:v>3.93</c:v>
                </c:pt>
                <c:pt idx="5">
                  <c:v>4.4400000000000004</c:v>
                </c:pt>
                <c:pt idx="6">
                  <c:v>4.91</c:v>
                </c:pt>
                <c:pt idx="7">
                  <c:v>4.99</c:v>
                </c:pt>
              </c:numCache>
            </c:numRef>
          </c:xVal>
          <c:yVal>
            <c:numRef>
              <c:f>'8-31-2010'!$B$11:$B$18</c:f>
              <c:numCache>
                <c:formatCode>General</c:formatCode>
                <c:ptCount val="8"/>
                <c:pt idx="0">
                  <c:v>3</c:v>
                </c:pt>
                <c:pt idx="1">
                  <c:v>50</c:v>
                </c:pt>
                <c:pt idx="2">
                  <c:v>400</c:v>
                </c:pt>
                <c:pt idx="3">
                  <c:v>500</c:v>
                </c:pt>
                <c:pt idx="4">
                  <c:v>600</c:v>
                </c:pt>
                <c:pt idx="5">
                  <c:v>700</c:v>
                </c:pt>
                <c:pt idx="6">
                  <c:v>800</c:v>
                </c:pt>
                <c:pt idx="7">
                  <c:v>870</c:v>
                </c:pt>
              </c:numCache>
            </c:numRef>
          </c:yVal>
        </c:ser>
        <c:ser>
          <c:idx val="5"/>
          <c:order val="1"/>
          <c:tx>
            <c:v>Field Probe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FF00"/>
              </a:solidFill>
            </c:spPr>
          </c:marker>
          <c:xVal>
            <c:numRef>
              <c:f>'8-31-2010'!$D$11:$D$18</c:f>
              <c:numCache>
                <c:formatCode>0.00</c:formatCode>
                <c:ptCount val="8"/>
                <c:pt idx="0">
                  <c:v>7.87</c:v>
                </c:pt>
                <c:pt idx="1">
                  <c:v>7.73</c:v>
                </c:pt>
                <c:pt idx="2">
                  <c:v>5.0199999999999996</c:v>
                </c:pt>
                <c:pt idx="3">
                  <c:v>4.96</c:v>
                </c:pt>
                <c:pt idx="4">
                  <c:v>5.0999999999999996</c:v>
                </c:pt>
                <c:pt idx="5">
                  <c:v>5.61</c:v>
                </c:pt>
                <c:pt idx="6">
                  <c:v>6.07</c:v>
                </c:pt>
                <c:pt idx="7">
                  <c:v>6.17</c:v>
                </c:pt>
              </c:numCache>
            </c:numRef>
          </c:xVal>
          <c:yVal>
            <c:numRef>
              <c:f>'8-31-2010'!$B$11:$B$18</c:f>
              <c:numCache>
                <c:formatCode>General</c:formatCode>
                <c:ptCount val="8"/>
                <c:pt idx="0">
                  <c:v>3</c:v>
                </c:pt>
                <c:pt idx="1">
                  <c:v>50</c:v>
                </c:pt>
                <c:pt idx="2">
                  <c:v>400</c:v>
                </c:pt>
                <c:pt idx="3">
                  <c:v>500</c:v>
                </c:pt>
                <c:pt idx="4">
                  <c:v>600</c:v>
                </c:pt>
                <c:pt idx="5">
                  <c:v>700</c:v>
                </c:pt>
                <c:pt idx="6">
                  <c:v>800</c:v>
                </c:pt>
                <c:pt idx="7">
                  <c:v>870</c:v>
                </c:pt>
              </c:numCache>
            </c:numRef>
          </c:yVal>
        </c:ser>
        <c:axId val="71789952"/>
        <c:axId val="71813376"/>
      </c:scatterChart>
      <c:valAx>
        <c:axId val="71789952"/>
        <c:scaling>
          <c:orientation val="minMax"/>
        </c:scaling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Dissolved</a:t>
                </a:r>
                <a:r>
                  <a:rPr lang="en-US" baseline="0"/>
                  <a:t> Oxygen (mg/L)</a:t>
                </a:r>
              </a:p>
            </c:rich>
          </c:tx>
          <c:layout/>
        </c:title>
        <c:numFmt formatCode="0.00" sourceLinked="1"/>
        <c:majorTickMark val="none"/>
        <c:tickLblPos val="nextTo"/>
        <c:crossAx val="71813376"/>
        <c:crosses val="autoZero"/>
        <c:crossBetween val="midCat"/>
      </c:valAx>
      <c:valAx>
        <c:axId val="71813376"/>
        <c:scaling>
          <c:orientation val="maxMin"/>
          <c:max val="16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1789952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OV</a:t>
            </a:r>
            <a:r>
              <a:rPr lang="en-US" sz="1600" baseline="0"/>
              <a:t> 214</a:t>
            </a:r>
            <a:endParaRPr lang="en-US" sz="1600"/>
          </a:p>
        </c:rich>
      </c:tx>
      <c:layout/>
    </c:title>
    <c:plotArea>
      <c:layout/>
      <c:scatterChart>
        <c:scatterStyle val="lineMarker"/>
        <c:ser>
          <c:idx val="4"/>
          <c:order val="0"/>
          <c:tx>
            <c:v>CTD</c:v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rgbClr val="92D050"/>
              </a:solidFill>
            </c:spPr>
          </c:marker>
          <c:xVal>
            <c:numRef>
              <c:f>'8-31-2010'!$C$19:$C$26</c:f>
              <c:numCache>
                <c:formatCode>0.00</c:formatCode>
                <c:ptCount val="8"/>
                <c:pt idx="0">
                  <c:v>6.24</c:v>
                </c:pt>
                <c:pt idx="1">
                  <c:v>6.76</c:v>
                </c:pt>
                <c:pt idx="2">
                  <c:v>3.82</c:v>
                </c:pt>
                <c:pt idx="3">
                  <c:v>4.04</c:v>
                </c:pt>
                <c:pt idx="4">
                  <c:v>4.91</c:v>
                </c:pt>
                <c:pt idx="5">
                  <c:v>5.77</c:v>
                </c:pt>
                <c:pt idx="6">
                  <c:v>6.15</c:v>
                </c:pt>
              </c:numCache>
            </c:numRef>
          </c:xVal>
          <c:yVal>
            <c:numRef>
              <c:f>'8-31-2010'!$B$19:$B$26</c:f>
              <c:numCache>
                <c:formatCode>General</c:formatCode>
                <c:ptCount val="8"/>
                <c:pt idx="0">
                  <c:v>3</c:v>
                </c:pt>
                <c:pt idx="1">
                  <c:v>50</c:v>
                </c:pt>
                <c:pt idx="2">
                  <c:v>428</c:v>
                </c:pt>
                <c:pt idx="3">
                  <c:v>600</c:v>
                </c:pt>
                <c:pt idx="4">
                  <c:v>800</c:v>
                </c:pt>
                <c:pt idx="5">
                  <c:v>1133</c:v>
                </c:pt>
                <c:pt idx="6">
                  <c:v>1228</c:v>
                </c:pt>
              </c:numCache>
            </c:numRef>
          </c:yVal>
        </c:ser>
        <c:ser>
          <c:idx val="5"/>
          <c:order val="1"/>
          <c:tx>
            <c:v>Field Probe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FF00"/>
              </a:solidFill>
            </c:spPr>
          </c:marker>
          <c:xVal>
            <c:numRef>
              <c:f>'8-31-2010'!$D$19:$D$26</c:f>
              <c:numCache>
                <c:formatCode>0.00</c:formatCode>
                <c:ptCount val="8"/>
                <c:pt idx="0">
                  <c:v>7.92</c:v>
                </c:pt>
                <c:pt idx="1">
                  <c:v>8.61</c:v>
                </c:pt>
                <c:pt idx="2">
                  <c:v>4.9800000000000004</c:v>
                </c:pt>
                <c:pt idx="3">
                  <c:v>5.21</c:v>
                </c:pt>
                <c:pt idx="4">
                  <c:v>6.19</c:v>
                </c:pt>
                <c:pt idx="5">
                  <c:v>7.06</c:v>
                </c:pt>
                <c:pt idx="6">
                  <c:v>7.47</c:v>
                </c:pt>
              </c:numCache>
            </c:numRef>
          </c:xVal>
          <c:yVal>
            <c:numRef>
              <c:f>'8-31-2010'!$B$19:$B$26</c:f>
              <c:numCache>
                <c:formatCode>General</c:formatCode>
                <c:ptCount val="8"/>
                <c:pt idx="0">
                  <c:v>3</c:v>
                </c:pt>
                <c:pt idx="1">
                  <c:v>50</c:v>
                </c:pt>
                <c:pt idx="2">
                  <c:v>428</c:v>
                </c:pt>
                <c:pt idx="3">
                  <c:v>600</c:v>
                </c:pt>
                <c:pt idx="4">
                  <c:v>800</c:v>
                </c:pt>
                <c:pt idx="5">
                  <c:v>1133</c:v>
                </c:pt>
                <c:pt idx="6">
                  <c:v>1228</c:v>
                </c:pt>
              </c:numCache>
            </c:numRef>
          </c:yVal>
        </c:ser>
        <c:axId val="73154944"/>
        <c:axId val="73163904"/>
      </c:scatterChart>
      <c:valAx>
        <c:axId val="73154944"/>
        <c:scaling>
          <c:orientation val="minMax"/>
          <c:max val="10"/>
        </c:scaling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Dissolved</a:t>
                </a:r>
                <a:r>
                  <a:rPr lang="en-US" baseline="0"/>
                  <a:t> Oxygen (mg/L)</a:t>
                </a:r>
              </a:p>
            </c:rich>
          </c:tx>
          <c:layout/>
        </c:title>
        <c:numFmt formatCode="0.00" sourceLinked="1"/>
        <c:majorTickMark val="none"/>
        <c:tickLblPos val="nextTo"/>
        <c:crossAx val="73163904"/>
        <c:crosses val="autoZero"/>
        <c:crossBetween val="midCat"/>
      </c:valAx>
      <c:valAx>
        <c:axId val="73163904"/>
        <c:scaling>
          <c:orientation val="maxMin"/>
          <c:max val="16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3154944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OV</a:t>
            </a:r>
            <a:r>
              <a:rPr lang="en-US" sz="1600" baseline="0"/>
              <a:t> 215</a:t>
            </a:r>
            <a:endParaRPr lang="en-US" sz="1600"/>
          </a:p>
        </c:rich>
      </c:tx>
      <c:layout/>
    </c:title>
    <c:plotArea>
      <c:layout/>
      <c:scatterChart>
        <c:scatterStyle val="lineMarker"/>
        <c:ser>
          <c:idx val="4"/>
          <c:order val="0"/>
          <c:tx>
            <c:v>CTD</c:v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rgbClr val="92D050"/>
              </a:solidFill>
            </c:spPr>
          </c:marker>
          <c:xVal>
            <c:numRef>
              <c:f>'8-31-2010'!$C$27:$C$34</c:f>
              <c:numCache>
                <c:formatCode>0.00</c:formatCode>
                <c:ptCount val="8"/>
                <c:pt idx="0">
                  <c:v>6.22</c:v>
                </c:pt>
                <c:pt idx="1">
                  <c:v>7.01</c:v>
                </c:pt>
                <c:pt idx="2">
                  <c:v>4.26</c:v>
                </c:pt>
                <c:pt idx="3">
                  <c:v>3.87</c:v>
                </c:pt>
                <c:pt idx="4">
                  <c:v>3.89</c:v>
                </c:pt>
                <c:pt idx="5">
                  <c:v>4.0599999999999996</c:v>
                </c:pt>
                <c:pt idx="6">
                  <c:v>4.53</c:v>
                </c:pt>
              </c:numCache>
            </c:numRef>
          </c:xVal>
          <c:yVal>
            <c:numRef>
              <c:f>'8-31-2010'!$B$27:$B$34</c:f>
              <c:numCache>
                <c:formatCode>General</c:formatCode>
                <c:ptCount val="8"/>
                <c:pt idx="0">
                  <c:v>3</c:v>
                </c:pt>
                <c:pt idx="1">
                  <c:v>50</c:v>
                </c:pt>
                <c:pt idx="2">
                  <c:v>250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</c:numCache>
            </c:numRef>
          </c:yVal>
        </c:ser>
        <c:ser>
          <c:idx val="5"/>
          <c:order val="1"/>
          <c:tx>
            <c:v>Field Probe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FF00"/>
              </a:solidFill>
            </c:spPr>
          </c:marker>
          <c:xVal>
            <c:numRef>
              <c:f>'8-31-2010'!$D$27:$D$34</c:f>
              <c:numCache>
                <c:formatCode>0.00</c:formatCode>
                <c:ptCount val="8"/>
                <c:pt idx="0">
                  <c:v>7.86</c:v>
                </c:pt>
                <c:pt idx="1">
                  <c:v>8.75</c:v>
                </c:pt>
                <c:pt idx="2">
                  <c:v>5.47</c:v>
                </c:pt>
                <c:pt idx="3">
                  <c:v>4.99</c:v>
                </c:pt>
                <c:pt idx="4">
                  <c:v>5.01</c:v>
                </c:pt>
                <c:pt idx="5">
                  <c:v>5.28</c:v>
                </c:pt>
                <c:pt idx="6">
                  <c:v>5.78</c:v>
                </c:pt>
              </c:numCache>
            </c:numRef>
          </c:xVal>
          <c:yVal>
            <c:numRef>
              <c:f>'8-31-2010'!$B$27:$B$34</c:f>
              <c:numCache>
                <c:formatCode>General</c:formatCode>
                <c:ptCount val="8"/>
                <c:pt idx="0">
                  <c:v>3</c:v>
                </c:pt>
                <c:pt idx="1">
                  <c:v>50</c:v>
                </c:pt>
                <c:pt idx="2">
                  <c:v>250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</c:numCache>
            </c:numRef>
          </c:yVal>
        </c:ser>
        <c:axId val="81512320"/>
        <c:axId val="80855424"/>
      </c:scatterChart>
      <c:valAx>
        <c:axId val="81512320"/>
        <c:scaling>
          <c:orientation val="minMax"/>
          <c:max val="10"/>
        </c:scaling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Dissolved</a:t>
                </a:r>
                <a:r>
                  <a:rPr lang="en-US" baseline="0"/>
                  <a:t> Oxygen (mg/L)</a:t>
                </a:r>
              </a:p>
            </c:rich>
          </c:tx>
          <c:layout/>
        </c:title>
        <c:numFmt formatCode="0.00" sourceLinked="1"/>
        <c:majorTickMark val="none"/>
        <c:tickLblPos val="nextTo"/>
        <c:crossAx val="80855424"/>
        <c:crosses val="autoZero"/>
        <c:crossBetween val="midCat"/>
      </c:valAx>
      <c:valAx>
        <c:axId val="80855424"/>
        <c:scaling>
          <c:orientation val="maxMin"/>
          <c:max val="16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151232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OV</a:t>
            </a:r>
            <a:r>
              <a:rPr lang="en-US" sz="1600" baseline="0"/>
              <a:t> 216</a:t>
            </a:r>
            <a:endParaRPr lang="en-US" sz="1600"/>
          </a:p>
        </c:rich>
      </c:tx>
      <c:layout/>
    </c:title>
    <c:plotArea>
      <c:layout/>
      <c:scatterChart>
        <c:scatterStyle val="lineMarker"/>
        <c:ser>
          <c:idx val="4"/>
          <c:order val="0"/>
          <c:tx>
            <c:v>CTD</c:v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rgbClr val="92D050"/>
              </a:solidFill>
            </c:spPr>
          </c:marker>
          <c:xVal>
            <c:numRef>
              <c:f>'8-31-2010'!$C$35:$C$42</c:f>
              <c:numCache>
                <c:formatCode>0.00</c:formatCode>
                <c:ptCount val="8"/>
                <c:pt idx="0">
                  <c:v>6.25</c:v>
                </c:pt>
                <c:pt idx="1">
                  <c:v>7</c:v>
                </c:pt>
                <c:pt idx="2">
                  <c:v>3.82</c:v>
                </c:pt>
                <c:pt idx="3">
                  <c:v>3.91</c:v>
                </c:pt>
                <c:pt idx="4">
                  <c:v>4.53</c:v>
                </c:pt>
                <c:pt idx="5">
                  <c:v>5.23</c:v>
                </c:pt>
                <c:pt idx="6">
                  <c:v>5.69</c:v>
                </c:pt>
                <c:pt idx="7">
                  <c:v>6.17</c:v>
                </c:pt>
              </c:numCache>
            </c:numRef>
          </c:xVal>
          <c:yVal>
            <c:numRef>
              <c:f>'8-31-2010'!$B$35:$B$42</c:f>
              <c:numCache>
                <c:formatCode>General</c:formatCode>
                <c:ptCount val="8"/>
                <c:pt idx="0">
                  <c:v>3</c:v>
                </c:pt>
                <c:pt idx="1">
                  <c:v>50</c:v>
                </c:pt>
                <c:pt idx="2">
                  <c:v>418</c:v>
                </c:pt>
                <c:pt idx="3">
                  <c:v>500</c:v>
                </c:pt>
                <c:pt idx="4">
                  <c:v>700</c:v>
                </c:pt>
                <c:pt idx="5">
                  <c:v>900</c:v>
                </c:pt>
                <c:pt idx="6">
                  <c:v>1050</c:v>
                </c:pt>
                <c:pt idx="7">
                  <c:v>1139</c:v>
                </c:pt>
              </c:numCache>
            </c:numRef>
          </c:yVal>
        </c:ser>
        <c:ser>
          <c:idx val="5"/>
          <c:order val="1"/>
          <c:tx>
            <c:v>Field Probe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FF00"/>
              </a:solidFill>
            </c:spPr>
          </c:marker>
          <c:xVal>
            <c:numRef>
              <c:f>'8-31-2010'!$D$35:$D$42</c:f>
              <c:numCache>
                <c:formatCode>0.00</c:formatCode>
                <c:ptCount val="8"/>
                <c:pt idx="0">
                  <c:v>7.85</c:v>
                </c:pt>
                <c:pt idx="1">
                  <c:v>8.76</c:v>
                </c:pt>
                <c:pt idx="2">
                  <c:v>4.9800000000000004</c:v>
                </c:pt>
                <c:pt idx="3">
                  <c:v>5.07</c:v>
                </c:pt>
                <c:pt idx="4">
                  <c:v>5.87</c:v>
                </c:pt>
                <c:pt idx="5">
                  <c:v>6.56</c:v>
                </c:pt>
                <c:pt idx="6">
                  <c:v>6.96</c:v>
                </c:pt>
                <c:pt idx="7">
                  <c:v>6.61</c:v>
                </c:pt>
              </c:numCache>
            </c:numRef>
          </c:xVal>
          <c:yVal>
            <c:numRef>
              <c:f>'8-31-2010'!$B$35:$B$42</c:f>
              <c:numCache>
                <c:formatCode>General</c:formatCode>
                <c:ptCount val="8"/>
                <c:pt idx="0">
                  <c:v>3</c:v>
                </c:pt>
                <c:pt idx="1">
                  <c:v>50</c:v>
                </c:pt>
                <c:pt idx="2">
                  <c:v>418</c:v>
                </c:pt>
                <c:pt idx="3">
                  <c:v>500</c:v>
                </c:pt>
                <c:pt idx="4">
                  <c:v>700</c:v>
                </c:pt>
                <c:pt idx="5">
                  <c:v>900</c:v>
                </c:pt>
                <c:pt idx="6">
                  <c:v>1050</c:v>
                </c:pt>
                <c:pt idx="7">
                  <c:v>1139</c:v>
                </c:pt>
              </c:numCache>
            </c:numRef>
          </c:yVal>
        </c:ser>
        <c:axId val="80167296"/>
        <c:axId val="80388480"/>
      </c:scatterChart>
      <c:valAx>
        <c:axId val="80167296"/>
        <c:scaling>
          <c:orientation val="minMax"/>
          <c:max val="10"/>
        </c:scaling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Dissolved</a:t>
                </a:r>
                <a:r>
                  <a:rPr lang="en-US" baseline="0"/>
                  <a:t> Oxygen (mg/L)</a:t>
                </a:r>
              </a:p>
            </c:rich>
          </c:tx>
          <c:layout/>
        </c:title>
        <c:numFmt formatCode="0.00" sourceLinked="1"/>
        <c:majorTickMark val="none"/>
        <c:tickLblPos val="nextTo"/>
        <c:crossAx val="80388480"/>
        <c:crosses val="autoZero"/>
        <c:crossBetween val="midCat"/>
      </c:valAx>
      <c:valAx>
        <c:axId val="80388480"/>
        <c:scaling>
          <c:orientation val="maxMin"/>
          <c:max val="16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0167296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baseline="0"/>
              <a:t>Correlation of DO Instruments (08-31-2010)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5292801132905526"/>
          <c:y val="0.17108438622487179"/>
          <c:w val="0.52245852211872368"/>
          <c:h val="0.58196218681735878"/>
        </c:manualLayout>
      </c:layout>
      <c:scatterChart>
        <c:scatterStyle val="lineMarker"/>
        <c:ser>
          <c:idx val="0"/>
          <c:order val="0"/>
          <c:tx>
            <c:v>OV212</c:v>
          </c:tx>
          <c:spPr>
            <a:ln w="28575">
              <a:noFill/>
            </a:ln>
          </c:spPr>
          <c:trendline>
            <c:trendlineType val="linear"/>
            <c:dispRSqr val="1"/>
            <c:trendlineLbl>
              <c:layout>
                <c:manualLayout>
                  <c:x val="0.42380121337291854"/>
                  <c:y val="-4.4539445658297948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0070C0"/>
                        </a:solidFill>
                      </a:defRPr>
                    </a:pPr>
                    <a:r>
                      <a:rPr lang="en-US" baseline="0"/>
                      <a:t>R² = 0.9888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'Corr. 8-31-2010'!$C$3:$C$10</c:f>
              <c:numCache>
                <c:formatCode>0.00</c:formatCode>
                <c:ptCount val="8"/>
                <c:pt idx="0">
                  <c:v>6.09</c:v>
                </c:pt>
                <c:pt idx="1">
                  <c:v>6.47</c:v>
                </c:pt>
                <c:pt idx="2">
                  <c:v>3.64</c:v>
                </c:pt>
                <c:pt idx="3">
                  <c:v>3.88</c:v>
                </c:pt>
                <c:pt idx="4">
                  <c:v>4.4800000000000004</c:v>
                </c:pt>
                <c:pt idx="5">
                  <c:v>4.8</c:v>
                </c:pt>
                <c:pt idx="6">
                  <c:v>5.58</c:v>
                </c:pt>
                <c:pt idx="7">
                  <c:v>5.89</c:v>
                </c:pt>
              </c:numCache>
            </c:numRef>
          </c:xVal>
          <c:yVal>
            <c:numRef>
              <c:f>'Corr. 8-31-2010'!$D$3:$D$10</c:f>
              <c:numCache>
                <c:formatCode>0.00</c:formatCode>
                <c:ptCount val="8"/>
                <c:pt idx="0">
                  <c:v>7.86</c:v>
                </c:pt>
                <c:pt idx="1">
                  <c:v>8.2100000000000009</c:v>
                </c:pt>
                <c:pt idx="2">
                  <c:v>4.75</c:v>
                </c:pt>
                <c:pt idx="3">
                  <c:v>5.29</c:v>
                </c:pt>
                <c:pt idx="4">
                  <c:v>5.88</c:v>
                </c:pt>
                <c:pt idx="5">
                  <c:v>6.24</c:v>
                </c:pt>
                <c:pt idx="6">
                  <c:v>6.98</c:v>
                </c:pt>
                <c:pt idx="7">
                  <c:v>6.97</c:v>
                </c:pt>
              </c:numCache>
            </c:numRef>
          </c:yVal>
        </c:ser>
        <c:ser>
          <c:idx val="1"/>
          <c:order val="1"/>
          <c:tx>
            <c:v>OV213</c:v>
          </c:tx>
          <c:spPr>
            <a:ln w="28575">
              <a:noFill/>
            </a:ln>
          </c:spPr>
          <c:trendline>
            <c:trendlineType val="linear"/>
            <c:dispRSqr val="1"/>
            <c:trendlineLbl>
              <c:layout>
                <c:manualLayout>
                  <c:x val="0.43555664558323653"/>
                  <c:y val="-1.5357766143106457E-3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>
                      <a:solidFill>
                        <a:srgbClr val="C00000"/>
                      </a:solidFill>
                    </a:defRPr>
                  </a:pPr>
                  <a:endParaRPr lang="en-US"/>
                </a:p>
              </c:txPr>
            </c:trendlineLbl>
          </c:trendline>
          <c:xVal>
            <c:numRef>
              <c:f>'Corr. 8-31-2010'!$C$11:$C$18</c:f>
              <c:numCache>
                <c:formatCode>0.00</c:formatCode>
                <c:ptCount val="8"/>
                <c:pt idx="0">
                  <c:v>6.29</c:v>
                </c:pt>
                <c:pt idx="1">
                  <c:v>6.13</c:v>
                </c:pt>
                <c:pt idx="2">
                  <c:v>3.9</c:v>
                </c:pt>
                <c:pt idx="3">
                  <c:v>3.86</c:v>
                </c:pt>
                <c:pt idx="4">
                  <c:v>3.93</c:v>
                </c:pt>
                <c:pt idx="5">
                  <c:v>4.4400000000000004</c:v>
                </c:pt>
                <c:pt idx="6">
                  <c:v>4.91</c:v>
                </c:pt>
                <c:pt idx="7">
                  <c:v>4.99</c:v>
                </c:pt>
              </c:numCache>
            </c:numRef>
          </c:xVal>
          <c:yVal>
            <c:numRef>
              <c:f>'Corr. 8-31-2010'!$D$11:$D$18</c:f>
              <c:numCache>
                <c:formatCode>0.00</c:formatCode>
                <c:ptCount val="8"/>
                <c:pt idx="0">
                  <c:v>7.87</c:v>
                </c:pt>
                <c:pt idx="1">
                  <c:v>7.73</c:v>
                </c:pt>
                <c:pt idx="2">
                  <c:v>5.0199999999999996</c:v>
                </c:pt>
                <c:pt idx="3">
                  <c:v>4.96</c:v>
                </c:pt>
                <c:pt idx="4">
                  <c:v>5.0999999999999996</c:v>
                </c:pt>
                <c:pt idx="5">
                  <c:v>5.61</c:v>
                </c:pt>
                <c:pt idx="6">
                  <c:v>6.07</c:v>
                </c:pt>
                <c:pt idx="7">
                  <c:v>6.17</c:v>
                </c:pt>
              </c:numCache>
            </c:numRef>
          </c:yVal>
        </c:ser>
        <c:ser>
          <c:idx val="2"/>
          <c:order val="2"/>
          <c:tx>
            <c:v>OV214</c:v>
          </c:tx>
          <c:spPr>
            <a:ln w="28575">
              <a:noFill/>
            </a:ln>
          </c:spPr>
          <c:trendline>
            <c:trendlineType val="linear"/>
            <c:dispRSqr val="1"/>
            <c:trendlineLbl>
              <c:layout>
                <c:manualLayout>
                  <c:x val="0.4070478895056151"/>
                  <c:y val="9.1336658833876136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92D050"/>
                        </a:solidFill>
                      </a:defRPr>
                    </a:pPr>
                    <a:r>
                      <a:rPr lang="en-US"/>
                      <a:t>R² = 0.9570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'Corr. 8-31-2010'!$C$19:$C$26</c:f>
              <c:numCache>
                <c:formatCode>0.00</c:formatCode>
                <c:ptCount val="8"/>
                <c:pt idx="0">
                  <c:v>6.24</c:v>
                </c:pt>
                <c:pt idx="1">
                  <c:v>6.76</c:v>
                </c:pt>
                <c:pt idx="2">
                  <c:v>3.82</c:v>
                </c:pt>
                <c:pt idx="3">
                  <c:v>4.04</c:v>
                </c:pt>
                <c:pt idx="4">
                  <c:v>4.91</c:v>
                </c:pt>
                <c:pt idx="5">
                  <c:v>5.77</c:v>
                </c:pt>
                <c:pt idx="6">
                  <c:v>6.15</c:v>
                </c:pt>
              </c:numCache>
            </c:numRef>
          </c:xVal>
          <c:yVal>
            <c:numRef>
              <c:f>'Corr. 8-31-2010'!$D$19:$D$26</c:f>
              <c:numCache>
                <c:formatCode>0.00</c:formatCode>
                <c:ptCount val="8"/>
                <c:pt idx="0">
                  <c:v>7.92</c:v>
                </c:pt>
                <c:pt idx="1">
                  <c:v>8.61</c:v>
                </c:pt>
                <c:pt idx="2">
                  <c:v>4.9800000000000004</c:v>
                </c:pt>
                <c:pt idx="3">
                  <c:v>5.21</c:v>
                </c:pt>
                <c:pt idx="4">
                  <c:v>6.19</c:v>
                </c:pt>
                <c:pt idx="5">
                  <c:v>7.06</c:v>
                </c:pt>
                <c:pt idx="6">
                  <c:v>7.47</c:v>
                </c:pt>
              </c:numCache>
            </c:numRef>
          </c:yVal>
        </c:ser>
        <c:ser>
          <c:idx val="3"/>
          <c:order val="3"/>
          <c:tx>
            <c:v>OV215</c:v>
          </c:tx>
          <c:spPr>
            <a:ln w="28575">
              <a:noFill/>
            </a:ln>
          </c:spPr>
          <c:trendline>
            <c:trendlineType val="linear"/>
            <c:dispRSqr val="1"/>
            <c:trendlineLbl>
              <c:layout>
                <c:manualLayout>
                  <c:x val="0.39072105331095908"/>
                  <c:y val="0.17502961344491624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defRPr>
                  </a:pPr>
                  <a:endParaRPr lang="en-US"/>
                </a:p>
              </c:txPr>
            </c:trendlineLbl>
          </c:trendline>
          <c:xVal>
            <c:numRef>
              <c:f>'Corr. 8-31-2010'!$C$27:$C$34</c:f>
              <c:numCache>
                <c:formatCode>0.00</c:formatCode>
                <c:ptCount val="8"/>
                <c:pt idx="0">
                  <c:v>6.22</c:v>
                </c:pt>
                <c:pt idx="1">
                  <c:v>7.01</c:v>
                </c:pt>
                <c:pt idx="2">
                  <c:v>4.26</c:v>
                </c:pt>
                <c:pt idx="3">
                  <c:v>3.87</c:v>
                </c:pt>
                <c:pt idx="4">
                  <c:v>3.89</c:v>
                </c:pt>
                <c:pt idx="5">
                  <c:v>4.0599999999999996</c:v>
                </c:pt>
                <c:pt idx="6">
                  <c:v>4.53</c:v>
                </c:pt>
              </c:numCache>
            </c:numRef>
          </c:xVal>
          <c:yVal>
            <c:numRef>
              <c:f>'Corr. 8-31-2010'!$D$27:$D$34</c:f>
              <c:numCache>
                <c:formatCode>0.00</c:formatCode>
                <c:ptCount val="8"/>
                <c:pt idx="0">
                  <c:v>7.86</c:v>
                </c:pt>
                <c:pt idx="1">
                  <c:v>8.75</c:v>
                </c:pt>
                <c:pt idx="2">
                  <c:v>5.47</c:v>
                </c:pt>
                <c:pt idx="3">
                  <c:v>4.99</c:v>
                </c:pt>
                <c:pt idx="4">
                  <c:v>5.01</c:v>
                </c:pt>
                <c:pt idx="5">
                  <c:v>5.28</c:v>
                </c:pt>
                <c:pt idx="6">
                  <c:v>5.78</c:v>
                </c:pt>
              </c:numCache>
            </c:numRef>
          </c:yVal>
        </c:ser>
        <c:ser>
          <c:idx val="4"/>
          <c:order val="4"/>
          <c:tx>
            <c:v>OV216</c:v>
          </c:tx>
          <c:spPr>
            <a:ln w="28575">
              <a:noFill/>
            </a:ln>
          </c:spPr>
          <c:trendline>
            <c:trendlineType val="linear"/>
            <c:dispRSqr val="1"/>
            <c:trendlineLbl>
              <c:layout>
                <c:manualLayout>
                  <c:x val="0.39356000172109634"/>
                  <c:y val="0.2148823020159129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00B0F0"/>
                        </a:solidFill>
                      </a:defRPr>
                    </a:pPr>
                    <a:r>
                      <a:rPr lang="en-US"/>
                      <a:t>R² = 0.9140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'Corr. 8-31-2010'!$C$35:$C$42</c:f>
              <c:numCache>
                <c:formatCode>0.00</c:formatCode>
                <c:ptCount val="8"/>
                <c:pt idx="0">
                  <c:v>6.25</c:v>
                </c:pt>
                <c:pt idx="1">
                  <c:v>7</c:v>
                </c:pt>
                <c:pt idx="2">
                  <c:v>3.82</c:v>
                </c:pt>
                <c:pt idx="3">
                  <c:v>3.91</c:v>
                </c:pt>
                <c:pt idx="4">
                  <c:v>4.53</c:v>
                </c:pt>
                <c:pt idx="5">
                  <c:v>5.23</c:v>
                </c:pt>
                <c:pt idx="6">
                  <c:v>5.69</c:v>
                </c:pt>
                <c:pt idx="7">
                  <c:v>6.17</c:v>
                </c:pt>
              </c:numCache>
            </c:numRef>
          </c:xVal>
          <c:yVal>
            <c:numRef>
              <c:f>'Corr. 8-31-2010'!$D$35:$D$42</c:f>
              <c:numCache>
                <c:formatCode>0.00</c:formatCode>
                <c:ptCount val="8"/>
                <c:pt idx="0">
                  <c:v>7.85</c:v>
                </c:pt>
                <c:pt idx="1">
                  <c:v>8.76</c:v>
                </c:pt>
                <c:pt idx="2">
                  <c:v>4.9800000000000004</c:v>
                </c:pt>
                <c:pt idx="3">
                  <c:v>5.07</c:v>
                </c:pt>
                <c:pt idx="4">
                  <c:v>5.87</c:v>
                </c:pt>
                <c:pt idx="5">
                  <c:v>6.56</c:v>
                </c:pt>
                <c:pt idx="6">
                  <c:v>6.96</c:v>
                </c:pt>
                <c:pt idx="7">
                  <c:v>6.61</c:v>
                </c:pt>
              </c:numCache>
            </c:numRef>
          </c:yVal>
        </c:ser>
        <c:axId val="89709952"/>
        <c:axId val="91182976"/>
      </c:scatterChart>
      <c:valAx>
        <c:axId val="89709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CTD (mg/L)</a:t>
                </a:r>
              </a:p>
            </c:rich>
          </c:tx>
          <c:layout/>
        </c:title>
        <c:numFmt formatCode="0.00" sourceLinked="1"/>
        <c:majorTickMark val="none"/>
        <c:tickLblPos val="nextTo"/>
        <c:crossAx val="91182976"/>
        <c:crosses val="autoZero"/>
        <c:crossBetween val="midCat"/>
      </c:valAx>
      <c:valAx>
        <c:axId val="91182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ProODO</a:t>
                </a:r>
                <a:r>
                  <a:rPr lang="en-US" baseline="0"/>
                  <a:t> F</a:t>
                </a:r>
                <a:r>
                  <a:rPr lang="en-US"/>
                  <a:t>ield</a:t>
                </a:r>
                <a:r>
                  <a:rPr lang="en-US" baseline="0"/>
                  <a:t> Probe (mg/L)</a:t>
                </a:r>
                <a:endParaRPr lang="en-US"/>
              </a:p>
            </c:rich>
          </c:tx>
          <c:layout/>
        </c:title>
        <c:numFmt formatCode="0.00" sourceLinked="1"/>
        <c:majorTickMark val="none"/>
        <c:tickLblPos val="nextTo"/>
        <c:crossAx val="897099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1060195344434396"/>
          <c:y val="0.20516332055351719"/>
          <c:w val="0.23457297746206959"/>
          <c:h val="0.6063550544770184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2010-09-01T00:17:00Z</dcterms:created>
  <dcterms:modified xsi:type="dcterms:W3CDTF">2010-09-01T00:17:00Z</dcterms:modified>
</cp:coreProperties>
</file>